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94185d424b5.htm"/>
      <w:bookmarkStart w:id="1" w:name="ksd94185d424b5"/>
      <w:bookmarkEnd w:id="0"/>
      <w:bookmarkEnd w:id="1"/>
      <w:r>
        <w:rPr>
          <w:rFonts w:ascii="Times New Roman" w:hAnsi="Times New Roman"/>
          <w:b/>
          <w:sz w:val="20"/>
        </w:rPr>
        <w:t>Filed pursuant to Rule 424(b)(5)</w:t>
        <w:br/>
        <w:t xml:space="preserve">Registration No. 333-289512 </w:t>
      </w:r>
    </w:p>
    <w:p>
      <w:pPr>
        <w:pStyle w:val="TextBody"/>
        <w:bidi w:val="0"/>
        <w:spacing w:before="0" w:after="0"/>
        <w:jc w:val="left"/>
        <w:rPr/>
      </w:pPr>
      <w:r>
        <w:rPr/>
        <w:t> </w:t>
      </w:r>
    </w:p>
    <w:p>
      <w:pPr>
        <w:pStyle w:val="TextBody"/>
        <w:bidi w:val="0"/>
        <w:spacing w:before="0" w:after="0"/>
        <w:jc w:val="left"/>
        <w:rPr>
          <w:rFonts w:ascii="Times New Roman" w:hAnsi="Times New Roman"/>
          <w:b/>
          <w:sz w:val="15"/>
        </w:rPr>
      </w:pPr>
      <w:r>
        <w:rPr>
          <w:rFonts w:ascii="Times New Roman" w:hAnsi="Times New Roman"/>
          <w:b/>
          <w:sz w:val="15"/>
        </w:rPr>
        <w:t xml:space="preserve">PROSPECTUS SUPPLEMENT </w:t>
      </w:r>
    </w:p>
    <w:p>
      <w:pPr>
        <w:pStyle w:val="TextBody"/>
        <w:bidi w:val="0"/>
        <w:spacing w:before="0" w:after="0"/>
        <w:jc w:val="left"/>
        <w:rPr>
          <w:rFonts w:ascii="Times New Roman" w:hAnsi="Times New Roman"/>
          <w:b/>
          <w:sz w:val="15"/>
        </w:rPr>
      </w:pPr>
      <w:r>
        <w:rPr>
          <w:rFonts w:ascii="Times New Roman" w:hAnsi="Times New Roman"/>
          <w:b/>
          <w:sz w:val="15"/>
        </w:rPr>
        <w:t xml:space="preserve">(To Prospectus dated August 12, 2025) </w:t>
      </w:r>
    </w:p>
    <w:p>
      <w:pPr>
        <w:pStyle w:val="TextBody"/>
        <w:bidi w:val="0"/>
        <w:spacing w:before="120" w:after="0"/>
        <w:jc w:val="center"/>
        <w:rPr>
          <w:rFonts w:ascii="Times New Roman" w:hAnsi="Times New Roman"/>
          <w:b/>
          <w:sz w:val="22"/>
        </w:rPr>
      </w:pPr>
      <w:r>
        <w:rPr>
          <w:rFonts w:ascii="Times New Roman" w:hAnsi="Times New Roman"/>
          <w:b/>
          <w:sz w:val="22"/>
        </w:rPr>
        <w:t xml:space="preserve">$1,500,000,000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07820" cy="5575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7820" cy="5575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0"/>
        </w:rPr>
      </w:pPr>
      <w:r>
        <w:rPr>
          <w:rFonts w:ascii="Times New Roman" w:hAnsi="Times New Roman"/>
          <w:b/>
          <w:sz w:val="30"/>
        </w:rPr>
        <w:t xml:space="preserve">NXP B.V. </w:t>
      </w:r>
    </w:p>
    <w:p>
      <w:pPr>
        <w:pStyle w:val="TextBody"/>
        <w:bidi w:val="0"/>
        <w:spacing w:before="0" w:after="0"/>
        <w:jc w:val="center"/>
        <w:rPr>
          <w:rFonts w:ascii="Times New Roman" w:hAnsi="Times New Roman"/>
          <w:b/>
          <w:sz w:val="30"/>
        </w:rPr>
      </w:pPr>
      <w:r>
        <w:rPr>
          <w:rFonts w:ascii="Times New Roman" w:hAnsi="Times New Roman"/>
          <w:b/>
          <w:sz w:val="30"/>
        </w:rPr>
        <w:t xml:space="preserve">NXP FUNDING LLC </w:t>
      </w:r>
    </w:p>
    <w:p>
      <w:pPr>
        <w:pStyle w:val="TextBody"/>
        <w:bidi w:val="0"/>
        <w:spacing w:before="0" w:after="0"/>
        <w:jc w:val="center"/>
        <w:rPr>
          <w:rFonts w:ascii="Times New Roman" w:hAnsi="Times New Roman"/>
          <w:b/>
          <w:sz w:val="30"/>
        </w:rPr>
      </w:pPr>
      <w:r>
        <w:rPr>
          <w:rFonts w:ascii="Times New Roman" w:hAnsi="Times New Roman"/>
          <w:b/>
          <w:sz w:val="30"/>
        </w:rPr>
        <w:t xml:space="preserve">NXP USA, INC. </w:t>
      </w:r>
    </w:p>
    <w:p>
      <w:pPr>
        <w:pStyle w:val="TextBody"/>
        <w:bidi w:val="0"/>
        <w:spacing w:before="120" w:after="0"/>
        <w:jc w:val="center"/>
        <w:rPr>
          <w:rFonts w:ascii="Times New Roman" w:hAnsi="Times New Roman"/>
          <w:b/>
          <w:sz w:val="18"/>
        </w:rPr>
      </w:pPr>
      <w:r>
        <w:rPr>
          <w:rFonts w:ascii="Times New Roman" w:hAnsi="Times New Roman"/>
          <w:b/>
          <w:sz w:val="18"/>
        </w:rPr>
        <w:t>$500,000,000 4.300% Senior Notes due 2028</w:t>
      </w:r>
    </w:p>
    <w:p>
      <w:pPr>
        <w:pStyle w:val="TextBody"/>
        <w:bidi w:val="0"/>
        <w:spacing w:before="0" w:after="0"/>
        <w:jc w:val="center"/>
        <w:rPr>
          <w:rFonts w:ascii="Times New Roman" w:hAnsi="Times New Roman"/>
          <w:b/>
          <w:sz w:val="18"/>
        </w:rPr>
      </w:pPr>
      <w:r>
        <w:rPr>
          <w:rFonts w:ascii="Times New Roman" w:hAnsi="Times New Roman"/>
          <w:b/>
          <w:sz w:val="18"/>
        </w:rPr>
        <w:t>$300,000,000 4.850% Senior Notes due 2032</w:t>
      </w:r>
    </w:p>
    <w:p>
      <w:pPr>
        <w:pStyle w:val="TextBody"/>
        <w:bidi w:val="0"/>
        <w:spacing w:before="0" w:after="0"/>
        <w:jc w:val="center"/>
        <w:rPr>
          <w:rFonts w:ascii="Times New Roman" w:hAnsi="Times New Roman"/>
          <w:b/>
          <w:sz w:val="18"/>
        </w:rPr>
      </w:pPr>
      <w:r>
        <w:rPr>
          <w:rFonts w:ascii="Times New Roman" w:hAnsi="Times New Roman"/>
          <w:b/>
          <w:sz w:val="18"/>
        </w:rPr>
        <w:t>$700,000,000 5.250% Senior Notes due 2035</w:t>
      </w:r>
    </w:p>
    <w:p>
      <w:pPr>
        <w:pStyle w:val="TextBody"/>
        <w:bidi w:val="0"/>
        <w:spacing w:before="120" w:after="0"/>
        <w:jc w:val="left"/>
        <w:rPr>
          <w:rFonts w:ascii="Times New Roman" w:hAnsi="Times New Roman"/>
          <w:sz w:val="15"/>
        </w:rPr>
      </w:pPr>
      <w:r>
        <w:rPr>
          <w:rFonts w:ascii="Times New Roman" w:hAnsi="Times New Roman"/>
          <w:sz w:val="15"/>
        </w:rPr>
        <w:t>We are offering $500,000,000 aggregate principal amount of our 4.300% senior notes due 2028 (the </w:t>
      </w:r>
      <w:r>
        <w:rPr>
          <w:rFonts w:ascii="Times New Roman" w:hAnsi="Times New Roman"/>
          <w:i/>
          <w:sz w:val="15"/>
        </w:rPr>
        <w:t>2028 Notes</w:t>
      </w:r>
      <w:r>
        <w:rPr>
          <w:rFonts w:ascii="Times New Roman" w:hAnsi="Times New Roman"/>
          <w:sz w:val="15"/>
        </w:rPr>
        <w:t>), $300,000,000 aggregate principal amount of our 4.850% senior notes due 2032 (the </w:t>
      </w:r>
      <w:r>
        <w:rPr>
          <w:rFonts w:ascii="Times New Roman" w:hAnsi="Times New Roman"/>
          <w:i/>
          <w:sz w:val="15"/>
        </w:rPr>
        <w:t>2032 Notes</w:t>
      </w:r>
      <w:r>
        <w:rPr>
          <w:rFonts w:ascii="Times New Roman" w:hAnsi="Times New Roman"/>
          <w:sz w:val="15"/>
        </w:rPr>
        <w:t>) and $700,000,000 aggregate principal amount of our 5.250% senior notes due 2035 (the </w:t>
      </w:r>
      <w:r>
        <w:rPr>
          <w:rFonts w:ascii="Times New Roman" w:hAnsi="Times New Roman"/>
          <w:i/>
          <w:sz w:val="15"/>
        </w:rPr>
        <w:t>2035 Notes</w:t>
      </w:r>
      <w:r>
        <w:rPr>
          <w:rFonts w:ascii="Times New Roman" w:hAnsi="Times New Roman"/>
          <w:sz w:val="15"/>
        </w:rPr>
        <w:t> and, together with the 2028 Notes and the 2032 Notes, the </w:t>
      </w:r>
      <w:r>
        <w:rPr>
          <w:rFonts w:ascii="Times New Roman" w:hAnsi="Times New Roman"/>
          <w:i/>
          <w:sz w:val="15"/>
        </w:rPr>
        <w:t>Notes</w:t>
      </w:r>
      <w:r>
        <w:rPr>
          <w:rFonts w:ascii="Times New Roman" w:hAnsi="Times New Roman"/>
          <w:sz w:val="15"/>
        </w:rPr>
        <w:t xml:space="preserve">). We will pay interest on the 2028 Notes semi-annually on February 19 and August 19 of each year, beginning on February 19, 2026. We will pay interest on the 2032 Notes semi-annually on February 19 and August 19 of each year, beginning on February 19, 2026. We will pay interest on the 2035 Notes semi-annually on February 19 and August 19 of each year, beginning on February 19, 2026. </w:t>
      </w:r>
    </w:p>
    <w:p>
      <w:pPr>
        <w:pStyle w:val="TextBody"/>
        <w:bidi w:val="0"/>
        <w:spacing w:before="120" w:after="0"/>
        <w:jc w:val="left"/>
        <w:rPr>
          <w:rFonts w:ascii="Times New Roman" w:hAnsi="Times New Roman"/>
          <w:sz w:val="15"/>
        </w:rPr>
      </w:pPr>
      <w:r>
        <w:rPr>
          <w:rFonts w:ascii="Times New Roman" w:hAnsi="Times New Roman"/>
          <w:sz w:val="15"/>
        </w:rPr>
        <w:t xml:space="preserve">We may redeem each series of Notes, in whole or in part, at any time and from time to time, at the redemption prices described in this prospectus supplement under Description of the Notes and the Note GuaranteeOptional Redemption. </w:t>
      </w:r>
    </w:p>
    <w:p>
      <w:pPr>
        <w:pStyle w:val="TextBody"/>
        <w:bidi w:val="0"/>
        <w:spacing w:before="120" w:after="0"/>
        <w:jc w:val="left"/>
        <w:rPr>
          <w:rFonts w:ascii="Times New Roman" w:hAnsi="Times New Roman"/>
          <w:sz w:val="15"/>
        </w:rPr>
      </w:pPr>
      <w:r>
        <w:rPr>
          <w:rFonts w:ascii="Times New Roman" w:hAnsi="Times New Roman"/>
          <w:sz w:val="15"/>
        </w:rPr>
        <w:t>We may also redeem all of the Notes of a series at a redemption price equal to 100% of the principal amount of the Notes of such series plus accrued and unpaid interest, if any, to the redemption date in the event of certain changes in respect of withholding taxes, as described in this prospectus supplement under Description of the Notes and the Note GuaranteeRedemption for Tax Reasons. The Notes will be the senior unsecured obligations of each of NXP B.V., NXP Funding LLC and NXP USA, Inc. (the </w:t>
      </w:r>
      <w:r>
        <w:rPr>
          <w:rFonts w:ascii="Times New Roman" w:hAnsi="Times New Roman"/>
          <w:i/>
          <w:sz w:val="15"/>
        </w:rPr>
        <w:t>Issuers</w:t>
      </w:r>
      <w:r>
        <w:rPr>
          <w:rFonts w:ascii="Times New Roman" w:hAnsi="Times New Roman"/>
          <w:sz w:val="15"/>
        </w:rPr>
        <w:t>) and will be guaranteed (the </w:t>
      </w:r>
      <w:r>
        <w:rPr>
          <w:rFonts w:ascii="Times New Roman" w:hAnsi="Times New Roman"/>
          <w:i/>
          <w:sz w:val="15"/>
        </w:rPr>
        <w:t>Note Guarantee</w:t>
      </w:r>
      <w:r>
        <w:rPr>
          <w:rFonts w:ascii="Times New Roman" w:hAnsi="Times New Roman"/>
          <w:sz w:val="15"/>
        </w:rPr>
        <w:t>), on a senior unsecured basis by our parent company, NXP Semiconductors N.V. (the </w:t>
      </w:r>
      <w:r>
        <w:rPr>
          <w:rFonts w:ascii="Times New Roman" w:hAnsi="Times New Roman"/>
          <w:i/>
          <w:sz w:val="15"/>
        </w:rPr>
        <w:t>Parent</w:t>
      </w:r>
      <w:r>
        <w:rPr>
          <w:rFonts w:ascii="Times New Roman" w:hAnsi="Times New Roman"/>
          <w:sz w:val="15"/>
        </w:rPr>
        <w:t xml:space="preserve">). The Notes and the Note Guarantee, respectively, will rank equal in right of payment with all of the Issuers and the Parents respective existing and future senior indebtedness, including the Existing Notes (as defined herein) (except that certain series of Existing Notes do not benefit from a guarantee from the Parent), but will be effectively junior to all of the Issuers and the Parents future secured indebtedness to the extent of the value of the assets securing such indebtedness and effectively junior in certain circumstances to indebtedness incurred under the Revolving Credit Agreement (as defined herein)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subsidiaries. For a more detailed description of the Notes, see Description of the Notes and the Note Guarantee. </w:t>
      </w:r>
    </w:p>
    <w:p>
      <w:pPr>
        <w:pStyle w:val="TextBody"/>
        <w:bidi w:val="0"/>
        <w:spacing w:before="120" w:after="0"/>
        <w:jc w:val="left"/>
        <w:rPr>
          <w:rFonts w:ascii="Times New Roman" w:hAnsi="Times New Roman"/>
          <w:sz w:val="15"/>
        </w:rPr>
      </w:pPr>
      <w:r>
        <w:rPr>
          <w:rFonts w:ascii="Times New Roman" w:hAnsi="Times New Roman"/>
          <w:sz w:val="15"/>
        </w:rPr>
        <w:t xml:space="preserve">As described under Use of Proceeds, we intend to use the net proceeds from the offering of the Notes to redeem the 5.350% 2026 Notes and the 3.875% 2026 Notes (each, as defined herein) including all premiums, accrued interest and costs and expenses related to such redemptions. Pending such application, and in the event of any excess net proceeds from the Notes, such proceeds will be temporarily held as cash and other short-term securities or used for general corporate purposes, which may include capital expenditures or short-term debt repayment. See Use of Proceeds. </w:t>
      </w:r>
    </w:p>
    <w:p>
      <w:pPr>
        <w:pStyle w:val="TextBody"/>
        <w:bidi w:val="0"/>
        <w:spacing w:before="120" w:after="0"/>
        <w:jc w:val="left"/>
        <w:rPr>
          <w:rFonts w:ascii="Times New Roman" w:hAnsi="Times New Roman"/>
          <w:sz w:val="15"/>
        </w:rPr>
      </w:pPr>
      <w:r>
        <w:rPr>
          <w:rFonts w:ascii="Times New Roman" w:hAnsi="Times New Roman"/>
          <w:sz w:val="15"/>
        </w:rPr>
        <w:t xml:space="preserve">The Notes will be issued only in registered form in minimum denominations of $2,000 and integral multiples of $1,000 in excess thereof. </w:t>
      </w:r>
    </w:p>
    <w:p>
      <w:pPr>
        <w:pStyle w:val="TextBody"/>
        <w:bidi w:val="0"/>
        <w:spacing w:before="120" w:after="0"/>
        <w:jc w:val="left"/>
        <w:rPr>
          <w:rFonts w:ascii="Times New Roman" w:hAnsi="Times New Roman"/>
          <w:sz w:val="15"/>
        </w:rPr>
      </w:pPr>
      <w:r>
        <w:rPr>
          <w:rFonts w:ascii="Times New Roman" w:hAnsi="Times New Roman"/>
          <w:sz w:val="15"/>
        </w:rPr>
        <w:t xml:space="preserve">The Notes are a new issue of securities with no established trading market. We do not intend to apply to list the Notes on any national securities exchange or include the Notes in any automated quotation system. </w:t>
      </w:r>
    </w:p>
    <w:p>
      <w:pPr>
        <w:pStyle w:val="TextBody"/>
        <w:bidi w:val="0"/>
        <w:spacing w:before="120" w:after="0"/>
        <w:jc w:val="left"/>
        <w:rPr>
          <w:rFonts w:ascii="Times New Roman" w:hAnsi="Times New Roman"/>
          <w:sz w:val="15"/>
        </w:rPr>
      </w:pPr>
      <w:r>
        <w:rPr>
          <w:rFonts w:ascii="Times New Roman" w:hAnsi="Times New Roman"/>
          <w:b/>
          <w:sz w:val="15"/>
        </w:rPr>
        <w:t>Neither the U.S. Securities and Exchange Commission (the </w:t>
      </w:r>
      <w:r>
        <w:rPr>
          <w:rFonts w:ascii="Times New Roman" w:hAnsi="Times New Roman"/>
          <w:b/>
          <w:i/>
          <w:sz w:val="15"/>
        </w:rPr>
        <w:t>SEC</w:t>
      </w:r>
      <w:r>
        <w:rPr>
          <w:rFonts w:ascii="Times New Roman" w:hAnsi="Times New Roman"/>
          <w:b/>
          <w:sz w:val="15"/>
        </w:rPr>
        <w:t xml:space="preserve">) nor any state securities commission has approved or disapproved of these securities or determined if this prospectus supplement is truthful or complete. Any representation to the contrary is a criminal offense in the United States. </w:t>
      </w:r>
    </w:p>
    <w:p>
      <w:pPr>
        <w:pStyle w:val="TextBody"/>
        <w:bidi w:val="0"/>
        <w:spacing w:before="120" w:after="0"/>
        <w:jc w:val="left"/>
        <w:rPr/>
      </w:pPr>
      <w:r>
        <w:rPr>
          <w:rFonts w:ascii="Times New Roman" w:hAnsi="Times New Roman"/>
          <w:b/>
          <w:sz w:val="15"/>
        </w:rPr>
        <w:t>An investment in the Notes involves risks. See </w:t>
      </w:r>
      <w:hyperlink w:anchor="supptoc94185_3">
        <w:r>
          <w:rPr>
            <w:rStyle w:val="InternetLink"/>
            <w:rFonts w:ascii="Times New Roman" w:hAnsi="Times New Roman"/>
            <w:b/>
            <w:sz w:val="15"/>
          </w:rPr>
          <w:t>Risk Factors</w:t>
        </w:r>
      </w:hyperlink>
      <w:r>
        <w:rPr>
          <w:rFonts w:ascii="Times New Roman" w:hAnsi="Times New Roman"/>
          <w:b/>
          <w:sz w:val="15"/>
        </w:rPr>
        <w:t xml:space="preserve"> beginning on page S-8, as well as the risks set forth in our other filings with the SEC, which are incorporated by reference in this prospectus supplement and the accompanying prospectus, for a discussion of certain risks that should be considered in connection with an investment in the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3"/>
        <w:gridCol w:w="339"/>
        <w:gridCol w:w="162"/>
        <w:gridCol w:w="1468"/>
        <w:gridCol w:w="351"/>
        <w:gridCol w:w="287"/>
        <w:gridCol w:w="176"/>
        <w:gridCol w:w="1266"/>
        <w:gridCol w:w="351"/>
        <w:gridCol w:w="287"/>
        <w:gridCol w:w="156"/>
        <w:gridCol w:w="1421"/>
        <w:gridCol w:w="358"/>
      </w:tblGrid>
      <w:tr>
        <w:trPr/>
        <w:tc>
          <w:tcPr>
            <w:tcW w:w="3583"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583"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pPr>
            <w:r>
              <w:rPr>
                <w:b/>
              </w:rPr>
              <w:t>Public Offering</w:t>
            </w:r>
            <w:r>
              <w:rPr/>
              <w:br/>
            </w:r>
            <w:r>
              <w:rPr>
                <w:b/>
              </w:rPr>
              <w:t>Price1</w:t>
            </w:r>
          </w:p>
        </w:tc>
        <w:tc>
          <w:tcPr>
            <w:tcW w:w="351"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pPr>
            <w:r>
              <w:rPr>
                <w:b/>
              </w:rPr>
              <w:t>Underwriting</w:t>
            </w:r>
            <w:r>
              <w:rPr/>
              <w:br/>
            </w:r>
            <w:r>
              <w:rPr>
                <w:b/>
              </w:rPr>
              <w:t>Discount</w:t>
            </w:r>
          </w:p>
        </w:tc>
        <w:tc>
          <w:tcPr>
            <w:tcW w:w="351"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bottom"/>
          </w:tcPr>
          <w:p>
            <w:pPr>
              <w:pStyle w:val="TableContents"/>
              <w:bidi w:val="0"/>
              <w:spacing w:before="0" w:after="283"/>
              <w:jc w:val="center"/>
              <w:rPr/>
            </w:pPr>
            <w:r>
              <w:rPr>
                <w:b/>
              </w:rPr>
              <w:t>Offering</w:t>
            </w:r>
            <w:r>
              <w:rPr/>
              <w:br/>
            </w:r>
            <w:r>
              <w:rPr>
                <w:b/>
              </w:rPr>
              <w:t>Proceeds to</w:t>
            </w:r>
            <w:r>
              <w:rPr/>
              <w:br/>
            </w:r>
            <w:r>
              <w:rPr>
                <w:b/>
              </w:rPr>
              <w:t>Issuers, Before</w:t>
            </w:r>
            <w:r>
              <w:rPr/>
              <w:br/>
            </w:r>
            <w:r>
              <w:rPr>
                <w:b/>
              </w:rPr>
              <w:t>Expenses</w:t>
            </w:r>
          </w:p>
        </w:tc>
        <w:tc>
          <w:tcPr>
            <w:tcW w:w="358" w:type="dxa"/>
            <w:tcBorders/>
            <w:vAlign w:val="bottom"/>
          </w:tcPr>
          <w:p>
            <w:pPr>
              <w:pStyle w:val="TableContents"/>
              <w:bidi w:val="0"/>
              <w:spacing w:before="0" w:after="283"/>
              <w:jc w:val="left"/>
              <w:rPr/>
            </w:pPr>
            <w:r>
              <w:rPr/>
              <w:t> </w:t>
            </w:r>
          </w:p>
        </w:tc>
      </w:tr>
      <w:tr>
        <w:trPr/>
        <w:tc>
          <w:tcPr>
            <w:tcW w:w="3583" w:type="dxa"/>
            <w:tcBorders/>
            <w:shd w:fill="CCEEFF" w:val="clear"/>
            <w:vAlign w:val="bottom"/>
          </w:tcPr>
          <w:p>
            <w:pPr>
              <w:pStyle w:val="TableContents"/>
              <w:bidi w:val="0"/>
              <w:spacing w:before="0" w:after="0"/>
              <w:jc w:val="left"/>
              <w:rPr>
                <w:rFonts w:ascii="Times New Roman" w:hAnsi="Times New Roman"/>
                <w:sz w:val="15"/>
              </w:rPr>
            </w:pPr>
            <w:r>
              <w:rPr>
                <w:rFonts w:ascii="Times New Roman" w:hAnsi="Times New Roman"/>
                <w:sz w:val="15"/>
              </w:rPr>
              <w:t>Per 2028 Note</w:t>
            </w:r>
          </w:p>
        </w:tc>
        <w:tc>
          <w:tcPr>
            <w:tcW w:w="3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99.986</w:t>
            </w:r>
          </w:p>
        </w:tc>
        <w:tc>
          <w:tcPr>
            <w:tcW w:w="35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0.400</w:t>
            </w:r>
          </w:p>
        </w:tc>
        <w:tc>
          <w:tcPr>
            <w:tcW w:w="35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99.586</w:t>
            </w:r>
          </w:p>
        </w:tc>
        <w:tc>
          <w:tcPr>
            <w:tcW w:w="358"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Times New Roman" w:hAnsi="Times New Roman"/>
                <w:sz w:val="15"/>
              </w:rPr>
            </w:pPr>
            <w:r>
              <w:rPr>
                <w:rFonts w:ascii="Times New Roman" w:hAnsi="Times New Roman"/>
                <w:sz w:val="15"/>
              </w:rPr>
              <w:t>2028 Notes Total</w:t>
            </w:r>
          </w:p>
        </w:tc>
        <w:tc>
          <w:tcPr>
            <w:tcW w:w="3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499,930,000</w:t>
            </w:r>
          </w:p>
        </w:tc>
        <w:tc>
          <w:tcPr>
            <w:tcW w:w="351" w:type="dxa"/>
            <w:tcBorders/>
            <w:vAlign w:val="bottom"/>
          </w:tcPr>
          <w:p>
            <w:pPr>
              <w:pStyle w:val="TableContents"/>
              <w:bidi w:val="0"/>
              <w:spacing w:before="0" w:after="283"/>
              <w:jc w:val="left"/>
              <w:rPr/>
            </w:pPr>
            <w:r>
              <w:rPr/>
              <w:t>(1) </w:t>
            </w:r>
          </w:p>
        </w:tc>
        <w:tc>
          <w:tcPr>
            <w:tcW w:w="28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2,000,000</w:t>
            </w:r>
          </w:p>
        </w:tc>
        <w:tc>
          <w:tcPr>
            <w:tcW w:w="351" w:type="dxa"/>
            <w:tcBorders/>
            <w:vAlign w:val="bottom"/>
          </w:tcPr>
          <w:p>
            <w:pPr>
              <w:pStyle w:val="TableContents"/>
              <w:bidi w:val="0"/>
              <w:spacing w:before="0" w:after="283"/>
              <w:jc w:val="left"/>
              <w:rPr/>
            </w:pPr>
            <w:r>
              <w:rPr/>
              <w:t>(1) </w:t>
            </w:r>
          </w:p>
        </w:tc>
        <w:tc>
          <w:tcPr>
            <w:tcW w:w="28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497,930,000</w:t>
            </w:r>
          </w:p>
        </w:tc>
        <w:tc>
          <w:tcPr>
            <w:tcW w:w="358" w:type="dxa"/>
            <w:tcBorders/>
            <w:vAlign w:val="bottom"/>
          </w:tcPr>
          <w:p>
            <w:pPr>
              <w:pStyle w:val="TableContents"/>
              <w:bidi w:val="0"/>
              <w:spacing w:before="0" w:after="283"/>
              <w:jc w:val="left"/>
              <w:rPr/>
            </w:pPr>
            <w:r>
              <w:rPr/>
              <w:t>(1) </w:t>
            </w:r>
          </w:p>
        </w:tc>
      </w:tr>
      <w:tr>
        <w:trPr/>
        <w:tc>
          <w:tcPr>
            <w:tcW w:w="3583" w:type="dxa"/>
            <w:tcBorders/>
            <w:shd w:fill="CCEEFF" w:val="clear"/>
            <w:vAlign w:val="bottom"/>
          </w:tcPr>
          <w:p>
            <w:pPr>
              <w:pStyle w:val="TableContents"/>
              <w:bidi w:val="0"/>
              <w:spacing w:before="0" w:after="0"/>
              <w:jc w:val="left"/>
              <w:rPr>
                <w:rFonts w:ascii="Times New Roman" w:hAnsi="Times New Roman"/>
                <w:sz w:val="15"/>
              </w:rPr>
            </w:pPr>
            <w:r>
              <w:rPr>
                <w:rFonts w:ascii="Times New Roman" w:hAnsi="Times New Roman"/>
                <w:sz w:val="15"/>
              </w:rPr>
              <w:t>Per 2032 Note</w:t>
            </w:r>
          </w:p>
        </w:tc>
        <w:tc>
          <w:tcPr>
            <w:tcW w:w="3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99.800</w:t>
            </w:r>
          </w:p>
        </w:tc>
        <w:tc>
          <w:tcPr>
            <w:tcW w:w="35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0.400</w:t>
            </w:r>
          </w:p>
        </w:tc>
        <w:tc>
          <w:tcPr>
            <w:tcW w:w="35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99.400</w:t>
            </w:r>
          </w:p>
        </w:tc>
        <w:tc>
          <w:tcPr>
            <w:tcW w:w="358"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Times New Roman" w:hAnsi="Times New Roman"/>
                <w:sz w:val="15"/>
              </w:rPr>
            </w:pPr>
            <w:r>
              <w:rPr>
                <w:rFonts w:ascii="Times New Roman" w:hAnsi="Times New Roman"/>
                <w:sz w:val="15"/>
              </w:rPr>
              <w:t>2032 Notes Total</w:t>
            </w:r>
          </w:p>
        </w:tc>
        <w:tc>
          <w:tcPr>
            <w:tcW w:w="3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299,400,000</w:t>
            </w:r>
          </w:p>
        </w:tc>
        <w:tc>
          <w:tcPr>
            <w:tcW w:w="351" w:type="dxa"/>
            <w:tcBorders/>
            <w:vAlign w:val="bottom"/>
          </w:tcPr>
          <w:p>
            <w:pPr>
              <w:pStyle w:val="TableContents"/>
              <w:bidi w:val="0"/>
              <w:spacing w:before="0" w:after="283"/>
              <w:jc w:val="left"/>
              <w:rPr/>
            </w:pPr>
            <w:r>
              <w:rPr/>
              <w:t>(1) </w:t>
            </w:r>
          </w:p>
        </w:tc>
        <w:tc>
          <w:tcPr>
            <w:tcW w:w="28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1,200,000</w:t>
            </w:r>
          </w:p>
        </w:tc>
        <w:tc>
          <w:tcPr>
            <w:tcW w:w="351" w:type="dxa"/>
            <w:tcBorders/>
            <w:vAlign w:val="bottom"/>
          </w:tcPr>
          <w:p>
            <w:pPr>
              <w:pStyle w:val="TableContents"/>
              <w:bidi w:val="0"/>
              <w:spacing w:before="0" w:after="283"/>
              <w:jc w:val="left"/>
              <w:rPr/>
            </w:pPr>
            <w:r>
              <w:rPr/>
              <w:t>(1) </w:t>
            </w:r>
          </w:p>
        </w:tc>
        <w:tc>
          <w:tcPr>
            <w:tcW w:w="28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298,200,000</w:t>
            </w:r>
          </w:p>
        </w:tc>
        <w:tc>
          <w:tcPr>
            <w:tcW w:w="358" w:type="dxa"/>
            <w:tcBorders/>
            <w:vAlign w:val="bottom"/>
          </w:tcPr>
          <w:p>
            <w:pPr>
              <w:pStyle w:val="TableContents"/>
              <w:bidi w:val="0"/>
              <w:spacing w:before="0" w:after="283"/>
              <w:jc w:val="left"/>
              <w:rPr/>
            </w:pPr>
            <w:r>
              <w:rPr/>
              <w:t>(1) </w:t>
            </w:r>
          </w:p>
        </w:tc>
      </w:tr>
      <w:tr>
        <w:trPr/>
        <w:tc>
          <w:tcPr>
            <w:tcW w:w="3583" w:type="dxa"/>
            <w:tcBorders/>
            <w:shd w:fill="CCEEFF" w:val="clear"/>
            <w:vAlign w:val="bottom"/>
          </w:tcPr>
          <w:p>
            <w:pPr>
              <w:pStyle w:val="TableContents"/>
              <w:bidi w:val="0"/>
              <w:spacing w:before="0" w:after="0"/>
              <w:jc w:val="left"/>
              <w:rPr>
                <w:rFonts w:ascii="Times New Roman" w:hAnsi="Times New Roman"/>
                <w:sz w:val="15"/>
              </w:rPr>
            </w:pPr>
            <w:r>
              <w:rPr>
                <w:rFonts w:ascii="Times New Roman" w:hAnsi="Times New Roman"/>
                <w:sz w:val="15"/>
              </w:rPr>
              <w:t>Per 2035 Note</w:t>
            </w:r>
          </w:p>
        </w:tc>
        <w:tc>
          <w:tcPr>
            <w:tcW w:w="3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99.792</w:t>
            </w:r>
          </w:p>
        </w:tc>
        <w:tc>
          <w:tcPr>
            <w:tcW w:w="35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0.400</w:t>
            </w:r>
          </w:p>
        </w:tc>
        <w:tc>
          <w:tcPr>
            <w:tcW w:w="35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99.392</w:t>
            </w:r>
          </w:p>
        </w:tc>
        <w:tc>
          <w:tcPr>
            <w:tcW w:w="358"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Times New Roman" w:hAnsi="Times New Roman"/>
                <w:sz w:val="15"/>
              </w:rPr>
            </w:pPr>
            <w:r>
              <w:rPr>
                <w:rFonts w:ascii="Times New Roman" w:hAnsi="Times New Roman"/>
                <w:sz w:val="15"/>
              </w:rPr>
              <w:t>2035 Notes Total</w:t>
            </w:r>
          </w:p>
        </w:tc>
        <w:tc>
          <w:tcPr>
            <w:tcW w:w="3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698,544,000</w:t>
            </w:r>
          </w:p>
        </w:tc>
        <w:tc>
          <w:tcPr>
            <w:tcW w:w="351" w:type="dxa"/>
            <w:tcBorders/>
            <w:vAlign w:val="bottom"/>
          </w:tcPr>
          <w:p>
            <w:pPr>
              <w:pStyle w:val="TableContents"/>
              <w:bidi w:val="0"/>
              <w:spacing w:before="0" w:after="283"/>
              <w:jc w:val="left"/>
              <w:rPr/>
            </w:pPr>
            <w:r>
              <w:rPr/>
              <w:t>(1) </w:t>
            </w:r>
          </w:p>
        </w:tc>
        <w:tc>
          <w:tcPr>
            <w:tcW w:w="28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2,800,000</w:t>
            </w:r>
          </w:p>
        </w:tc>
        <w:tc>
          <w:tcPr>
            <w:tcW w:w="351" w:type="dxa"/>
            <w:tcBorders/>
            <w:vAlign w:val="bottom"/>
          </w:tcPr>
          <w:p>
            <w:pPr>
              <w:pStyle w:val="TableContents"/>
              <w:bidi w:val="0"/>
              <w:spacing w:before="0" w:after="283"/>
              <w:jc w:val="left"/>
              <w:rPr/>
            </w:pPr>
            <w:r>
              <w:rPr/>
              <w:t>(1) </w:t>
            </w:r>
          </w:p>
        </w:tc>
        <w:tc>
          <w:tcPr>
            <w:tcW w:w="28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695,744,000</w:t>
            </w:r>
          </w:p>
        </w:tc>
        <w:tc>
          <w:tcPr>
            <w:tcW w:w="358" w:type="dxa"/>
            <w:tcBorders/>
            <w:vAlign w:val="bottom"/>
          </w:tcPr>
          <w:p>
            <w:pPr>
              <w:pStyle w:val="TableContents"/>
              <w:bidi w:val="0"/>
              <w:spacing w:before="0" w:after="283"/>
              <w:jc w:val="left"/>
              <w:rPr/>
            </w:pPr>
            <w:r>
              <w:rPr/>
              <w:t>(1)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w:t>
            </w:r>
          </w:p>
        </w:tc>
        <w:tc>
          <w:tcPr>
            <w:tcW w:w="9900" w:type="dxa"/>
            <w:tcBorders/>
          </w:tcPr>
          <w:p>
            <w:pPr>
              <w:pStyle w:val="TableContents"/>
              <w:bidi w:val="0"/>
              <w:spacing w:before="0" w:after="0"/>
              <w:jc w:val="left"/>
              <w:rPr>
                <w:rFonts w:ascii="Times New Roman" w:hAnsi="Times New Roman"/>
                <w:sz w:val="15"/>
              </w:rPr>
            </w:pPr>
            <w:r>
              <w:rPr>
                <w:rFonts w:ascii="Times New Roman" w:hAnsi="Times New Roman"/>
                <w:sz w:val="15"/>
              </w:rPr>
              <w:t xml:space="preserve">Plus accrued interest from August 19, 2025, if settlement occurs after that date. </w:t>
            </w:r>
          </w:p>
        </w:tc>
      </w:tr>
    </w:tbl>
    <w:p>
      <w:pPr>
        <w:pStyle w:val="TextBody"/>
        <w:bidi w:val="0"/>
        <w:spacing w:before="120" w:after="0"/>
        <w:jc w:val="left"/>
        <w:rPr>
          <w:rFonts w:ascii="Times New Roman" w:hAnsi="Times New Roman"/>
          <w:sz w:val="15"/>
        </w:rPr>
      </w:pPr>
      <w:r>
        <w:rPr>
          <w:rFonts w:ascii="Times New Roman" w:hAnsi="Times New Roman"/>
          <w:sz w:val="15"/>
        </w:rPr>
        <w:t>Delivery of the Notes is expected to be made in book-entry form through the facilities of The Depository Trust Company (</w:t>
      </w:r>
      <w:r>
        <w:rPr>
          <w:rFonts w:ascii="Times New Roman" w:hAnsi="Times New Roman"/>
          <w:i/>
          <w:sz w:val="15"/>
        </w:rPr>
        <w:t>DTC</w:t>
      </w:r>
      <w:r>
        <w:rPr>
          <w:rFonts w:ascii="Times New Roman" w:hAnsi="Times New Roman"/>
          <w:sz w:val="15"/>
        </w:rPr>
        <w:t>) and its direct participants, including Euroclear Bank S.A./N.V. (</w:t>
      </w:r>
      <w:r>
        <w:rPr>
          <w:rFonts w:ascii="Times New Roman" w:hAnsi="Times New Roman"/>
          <w:i/>
          <w:sz w:val="15"/>
        </w:rPr>
        <w:t>Euroclear</w:t>
      </w:r>
      <w:r>
        <w:rPr>
          <w:rFonts w:ascii="Times New Roman" w:hAnsi="Times New Roman"/>
          <w:sz w:val="15"/>
        </w:rPr>
        <w:t xml:space="preserve">) and Clearstream Banking, </w:t>
      </w:r>
      <w:r>
        <w:rPr>
          <w:rFonts w:ascii="Times New Roman" w:hAnsi="Times New Roman"/>
          <w:i/>
          <w:sz w:val="15"/>
        </w:rPr>
        <w:t xml:space="preserve">société anonyme </w:t>
      </w:r>
      <w:r>
        <w:rPr>
          <w:rFonts w:ascii="Times New Roman" w:hAnsi="Times New Roman"/>
          <w:sz w:val="15"/>
        </w:rPr>
        <w:t>(</w:t>
      </w:r>
      <w:r>
        <w:rPr>
          <w:rFonts w:ascii="Times New Roman" w:hAnsi="Times New Roman"/>
          <w:i/>
          <w:sz w:val="15"/>
        </w:rPr>
        <w:t>Clearstream</w:t>
      </w:r>
      <w:r>
        <w:rPr>
          <w:rFonts w:ascii="Times New Roman" w:hAnsi="Times New Roman"/>
          <w:sz w:val="15"/>
        </w:rPr>
        <w:t xml:space="preserve">), against payment on or about August 19, 2025. </w:t>
      </w:r>
    </w:p>
    <w:p>
      <w:pPr>
        <w:pStyle w:val="TextBody"/>
        <w:bidi w:val="0"/>
        <w:spacing w:before="120" w:after="0"/>
        <w:jc w:val="center"/>
        <w:rPr>
          <w:rFonts w:ascii="Times New Roman" w:hAnsi="Times New Roman"/>
          <w:b/>
          <w:i/>
          <w:sz w:val="15"/>
        </w:rPr>
      </w:pPr>
      <w:r>
        <w:rPr>
          <w:rFonts w:ascii="Times New Roman" w:hAnsi="Times New Roman"/>
          <w:b/>
          <w:i/>
          <w:sz w:val="15"/>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0"/>
        <w:gridCol w:w="1940"/>
        <w:gridCol w:w="101"/>
        <w:gridCol w:w="2042"/>
        <w:gridCol w:w="101"/>
        <w:gridCol w:w="2042"/>
        <w:gridCol w:w="101"/>
        <w:gridCol w:w="2043"/>
      </w:tblGrid>
      <w:tr>
        <w:trPr/>
        <w:tc>
          <w:tcPr>
            <w:tcW w:w="173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1735" w:type="dxa"/>
            <w:tcBorders/>
          </w:tcPr>
          <w:p>
            <w:pPr>
              <w:pStyle w:val="TableContents"/>
              <w:bidi w:val="0"/>
              <w:spacing w:before="0" w:after="283"/>
              <w:jc w:val="center"/>
              <w:rPr>
                <w:b/>
              </w:rPr>
            </w:pPr>
            <w:r>
              <w:rPr>
                <w:b/>
              </w:rPr>
              <w:t>Barclays</w:t>
            </w:r>
          </w:p>
        </w:tc>
        <w:tc>
          <w:tcPr>
            <w:tcW w:w="100"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J.P. Morgan</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PNC Capital Markets LLC</w:t>
            </w:r>
          </w:p>
        </w:tc>
        <w:tc>
          <w:tcPr>
            <w:tcW w:w="101" w:type="dxa"/>
            <w:tcBorders/>
            <w:vAlign w:val="bottom"/>
          </w:tcPr>
          <w:p>
            <w:pPr>
              <w:pStyle w:val="TableContents"/>
              <w:bidi w:val="0"/>
              <w:spacing w:before="0" w:after="283"/>
              <w:jc w:val="left"/>
              <w:rPr/>
            </w:pPr>
            <w:r>
              <w:rPr/>
              <w:t> </w:t>
            </w:r>
          </w:p>
        </w:tc>
        <w:tc>
          <w:tcPr>
            <w:tcW w:w="2043" w:type="dxa"/>
            <w:tcBorders/>
          </w:tcPr>
          <w:p>
            <w:pPr>
              <w:pStyle w:val="TableContents"/>
              <w:bidi w:val="0"/>
              <w:spacing w:before="0" w:after="283"/>
              <w:jc w:val="center"/>
              <w:rPr>
                <w:b/>
              </w:rPr>
            </w:pPr>
            <w:r>
              <w:rPr>
                <w:b/>
              </w:rPr>
              <w:t>UBS Investment Bank</w:t>
            </w:r>
          </w:p>
        </w:tc>
      </w:tr>
    </w:tbl>
    <w:p>
      <w:pPr>
        <w:pStyle w:val="TextBody"/>
        <w:bidi w:val="0"/>
        <w:spacing w:before="0" w:after="0"/>
        <w:jc w:val="left"/>
        <w:rPr/>
      </w:pPr>
      <w:r>
        <w:rPr/>
        <w:t> </w:t>
      </w:r>
    </w:p>
    <w:tbl>
      <w:tblPr>
        <w:tblW w:w="11855" w:type="dxa"/>
        <w:jc w:val="center"/>
        <w:tblInd w:w="0" w:type="dxa"/>
        <w:tblLayout w:type="fixed"/>
        <w:tblCellMar>
          <w:top w:w="0" w:type="dxa"/>
          <w:left w:w="0" w:type="dxa"/>
          <w:bottom w:w="0" w:type="dxa"/>
          <w:right w:w="0" w:type="dxa"/>
        </w:tblCellMar>
      </w:tblPr>
      <w:tblGrid>
        <w:gridCol w:w="1595"/>
        <w:gridCol w:w="60"/>
        <w:gridCol w:w="1010"/>
        <w:gridCol w:w="60"/>
        <w:gridCol w:w="1610"/>
        <w:gridCol w:w="60"/>
        <w:gridCol w:w="2600"/>
        <w:gridCol w:w="60"/>
        <w:gridCol w:w="1655"/>
        <w:gridCol w:w="60"/>
        <w:gridCol w:w="1415"/>
        <w:gridCol w:w="60"/>
        <w:gridCol w:w="161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center"/>
              <w:rPr>
                <w:b/>
              </w:rPr>
            </w:pPr>
            <w:r>
              <w:rPr>
                <w:b/>
              </w:rPr>
              <w:t>BofA Securities</w:t>
            </w:r>
          </w:p>
        </w:tc>
        <w:tc>
          <w:tcPr>
            <w:tcW w:w="60"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center"/>
              <w:rPr>
                <w:b/>
              </w:rPr>
            </w:pPr>
            <w:r>
              <w:rPr>
                <w:b/>
              </w:rPr>
              <w:t>Citigroup</w:t>
            </w:r>
          </w:p>
        </w:tc>
        <w:tc>
          <w:tcPr>
            <w:tcW w:w="6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283"/>
              <w:jc w:val="center"/>
              <w:rPr>
                <w:b/>
              </w:rPr>
            </w:pPr>
            <w:r>
              <w:rPr>
                <w:b/>
              </w:rPr>
              <w:t>DBS Bank Ltd.</w:t>
            </w:r>
          </w:p>
        </w:tc>
        <w:tc>
          <w:tcPr>
            <w:tcW w:w="60" w:type="dxa"/>
            <w:tcBorders/>
            <w:vAlign w:val="bottom"/>
          </w:tcPr>
          <w:p>
            <w:pPr>
              <w:pStyle w:val="TableContents"/>
              <w:bidi w:val="0"/>
              <w:spacing w:before="0" w:after="283"/>
              <w:jc w:val="left"/>
              <w:rPr/>
            </w:pPr>
            <w:r>
              <w:rPr/>
              <w:t> </w:t>
            </w:r>
          </w:p>
        </w:tc>
        <w:tc>
          <w:tcPr>
            <w:tcW w:w="2600" w:type="dxa"/>
            <w:tcBorders/>
          </w:tcPr>
          <w:p>
            <w:pPr>
              <w:pStyle w:val="TableContents"/>
              <w:bidi w:val="0"/>
              <w:spacing w:before="0" w:after="283"/>
              <w:jc w:val="center"/>
              <w:rPr>
                <w:b/>
              </w:rPr>
            </w:pPr>
            <w:r>
              <w:rPr>
                <w:b/>
              </w:rPr>
              <w:t>Deutsche Bank Securities</w:t>
            </w:r>
          </w:p>
        </w:tc>
        <w:tc>
          <w:tcPr>
            <w:tcW w:w="60" w:type="dxa"/>
            <w:tcBorders/>
            <w:vAlign w:val="bottom"/>
          </w:tcPr>
          <w:p>
            <w:pPr>
              <w:pStyle w:val="TableContents"/>
              <w:bidi w:val="0"/>
              <w:spacing w:before="0" w:after="283"/>
              <w:jc w:val="left"/>
              <w:rPr/>
            </w:pPr>
            <w:r>
              <w:rPr/>
              <w:t> </w:t>
            </w:r>
          </w:p>
        </w:tc>
        <w:tc>
          <w:tcPr>
            <w:tcW w:w="1655" w:type="dxa"/>
            <w:tcBorders/>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1415" w:type="dxa"/>
            <w:tcBorders/>
          </w:tcPr>
          <w:p>
            <w:pPr>
              <w:pStyle w:val="TableContents"/>
              <w:bidi w:val="0"/>
              <w:spacing w:before="0" w:after="283"/>
              <w:jc w:val="center"/>
              <w:rPr>
                <w:b/>
              </w:rPr>
            </w:pPr>
            <w:r>
              <w:rPr>
                <w:b/>
              </w:rPr>
              <w:t>SMBC Nikko</w:t>
            </w:r>
          </w:p>
        </w:tc>
        <w:tc>
          <w:tcPr>
            <w:tcW w:w="60" w:type="dxa"/>
            <w:tcBorders/>
            <w:vAlign w:val="bottom"/>
          </w:tcPr>
          <w:p>
            <w:pPr>
              <w:pStyle w:val="TableContents"/>
              <w:bidi w:val="0"/>
              <w:spacing w:before="0" w:after="283"/>
              <w:jc w:val="left"/>
              <w:rPr/>
            </w:pPr>
            <w:r>
              <w:rPr/>
              <w:t> </w:t>
            </w:r>
          </w:p>
        </w:tc>
        <w:tc>
          <w:tcPr>
            <w:tcW w:w="1610" w:type="dxa"/>
            <w:tcBorders/>
          </w:tcPr>
          <w:p>
            <w:pPr>
              <w:pStyle w:val="TableContents"/>
              <w:bidi w:val="0"/>
              <w:spacing w:before="0" w:after="283"/>
              <w:jc w:val="center"/>
              <w:rPr>
                <w:b/>
              </w:rPr>
            </w:pPr>
            <w:r>
              <w:rPr>
                <w:b/>
              </w:rPr>
              <w:t>Rabo Securities</w:t>
            </w:r>
          </w:p>
        </w:tc>
      </w:tr>
    </w:tbl>
    <w:p>
      <w:pPr>
        <w:pStyle w:val="TextBody"/>
        <w:bidi w:val="0"/>
        <w:spacing w:before="120" w:after="0"/>
        <w:jc w:val="center"/>
        <w:rPr>
          <w:rFonts w:ascii="Times New Roman" w:hAnsi="Times New Roman"/>
          <w:sz w:val="15"/>
        </w:rPr>
      </w:pPr>
      <w:r>
        <w:rPr>
          <w:rFonts w:ascii="Times New Roman" w:hAnsi="Times New Roman"/>
          <w:sz w:val="15"/>
        </w:rPr>
        <w:t xml:space="preserve">The date of this prospectus supplement is August 12,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8"/>
        <w:gridCol w:w="142"/>
        <w:gridCol w:w="60"/>
        <w:gridCol w:w="473"/>
        <w:gridCol w:w="62"/>
      </w:tblGrid>
      <w:tr>
        <w:trPr/>
        <w:tc>
          <w:tcPr>
            <w:tcW w:w="946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1">
              <w:r>
                <w:rPr>
                  <w:rStyle w:val="InternetLink"/>
                  <w:rFonts w:ascii="Times New Roman" w:hAnsi="Times New Roman"/>
                  <w:sz w:val="20"/>
                </w:rPr>
                <w:t>ABOUT THIS PROSPECTUS SUPPLEMENT</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2">
              <w:r>
                <w:rPr>
                  <w:rStyle w:val="InternetLink"/>
                  <w:rFonts w:ascii="Times New Roman" w:hAnsi="Times New Roman"/>
                  <w:sz w:val="20"/>
                </w:rPr>
                <w:t>SUMMARY</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3">
              <w:r>
                <w:rPr>
                  <w:rStyle w:val="InternetLink"/>
                  <w:rFonts w:ascii="Times New Roman" w:hAnsi="Times New Roman"/>
                  <w:sz w:val="20"/>
                </w:rPr>
                <w:t>RISK FACTORS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4">
              <w:r>
                <w:rPr>
                  <w:rStyle w:val="InternetLink"/>
                  <w:rFonts w:ascii="Times New Roman" w:hAnsi="Times New Roman"/>
                  <w:sz w:val="20"/>
                </w:rPr>
                <w:t>USE OF PROCEEDS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5">
              <w:r>
                <w:rPr>
                  <w:rStyle w:val="InternetLink"/>
                  <w:rFonts w:ascii="Times New Roman" w:hAnsi="Times New Roman"/>
                  <w:sz w:val="20"/>
                </w:rPr>
                <w:t>CAPITALIZATION</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6">
              <w:r>
                <w:rPr>
                  <w:rStyle w:val="InternetLink"/>
                  <w:rFonts w:ascii="Times New Roman" w:hAnsi="Times New Roman"/>
                  <w:sz w:val="20"/>
                </w:rPr>
                <w:t>DESCRIPTION OF OTHER INDEBTEDNESS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7">
              <w:r>
                <w:rPr>
                  <w:rStyle w:val="InternetLink"/>
                  <w:rFonts w:ascii="Times New Roman" w:hAnsi="Times New Roman"/>
                  <w:sz w:val="20"/>
                </w:rPr>
                <w:t>DESCRIPTION OF THE NOTES AND THE NOTE GUARANTEE</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8">
              <w:r>
                <w:rPr>
                  <w:rStyle w:val="InternetLink"/>
                  <w:rFonts w:ascii="Times New Roman" w:hAnsi="Times New Roman"/>
                  <w:sz w:val="20"/>
                </w:rPr>
                <w:t>TAX CONSIDERATIONS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S-58</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9">
              <w:r>
                <w:rPr>
                  <w:rStyle w:val="InternetLink"/>
                  <w:rFonts w:ascii="Times New Roman" w:hAnsi="Times New Roman"/>
                  <w:sz w:val="20"/>
                </w:rPr>
                <w:t>LIMITATIONS ON VALIDITY AND ENFORCEABILITY OF NOTE GUARANTEE</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S-65</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10">
              <w:r>
                <w:rPr>
                  <w:rStyle w:val="InternetLink"/>
                  <w:rFonts w:ascii="Times New Roman" w:hAnsi="Times New Roman"/>
                  <w:sz w:val="20"/>
                </w:rPr>
                <w:t>UNDERWRITING (CONFLICTS OF INTEREST)</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S-68</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11">
              <w:r>
                <w:rPr>
                  <w:rStyle w:val="InternetLink"/>
                  <w:rFonts w:ascii="Times New Roman" w:hAnsi="Times New Roman"/>
                  <w:sz w:val="20"/>
                </w:rPr>
                <w:t>LEGAL MATTERS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S-75</w:t>
            </w:r>
          </w:p>
        </w:tc>
        <w:tc>
          <w:tcPr>
            <w:tcW w:w="62" w:type="dxa"/>
            <w:tcBorders/>
            <w:vAlign w:val="bottom"/>
          </w:tcPr>
          <w:p>
            <w:pPr>
              <w:pStyle w:val="TableContents"/>
              <w:bidi w:val="0"/>
              <w:spacing w:before="0" w:after="283"/>
              <w:jc w:val="left"/>
              <w:rPr/>
            </w:pPr>
            <w:r>
              <w:rPr/>
              <w:t> </w:t>
            </w:r>
          </w:p>
        </w:tc>
      </w:tr>
      <w:tr>
        <w:trPr/>
        <w:tc>
          <w:tcPr>
            <w:tcW w:w="9468" w:type="dxa"/>
            <w:tcBorders/>
          </w:tcPr>
          <w:p>
            <w:pPr>
              <w:pStyle w:val="TableContents"/>
              <w:bidi w:val="0"/>
              <w:spacing w:before="0" w:after="0"/>
              <w:jc w:val="left"/>
              <w:rPr/>
            </w:pPr>
            <w:hyperlink w:anchor="supptoc94185_12">
              <w:r>
                <w:rPr>
                  <w:rStyle w:val="InternetLink"/>
                  <w:rFonts w:ascii="Times New Roman" w:hAnsi="Times New Roman"/>
                  <w:sz w:val="20"/>
                </w:rPr>
                <w:t>EXPERTS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S-75</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9418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5">
              <w:r>
                <w:rPr>
                  <w:rStyle w:val="InternetLink"/>
                  <w:rFonts w:ascii="Times New Roman" w:hAnsi="Times New Roman"/>
                  <w:sz w:val="20"/>
                </w:rPr>
                <w:t>INFORMATION REGARDING THE ISSUERS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9">
              <w:r>
                <w:rPr>
                  <w:rStyle w:val="InternetLink"/>
                  <w:rFonts w:ascii="Times New Roman" w:hAnsi="Times New Roman"/>
                  <w:sz w:val="20"/>
                </w:rPr>
                <w:t>ENFORCEMENT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prospectus supplement has been prepared by us solely for use in connection with the proposed offering of the Notes. NXP B.V. (the </w:t>
      </w:r>
      <w:r>
        <w:rPr>
          <w:rFonts w:ascii="Times New Roman" w:hAnsi="Times New Roman"/>
          <w:i/>
          <w:sz w:val="20"/>
        </w:rPr>
        <w:t>Company</w:t>
      </w:r>
      <w:r>
        <w:rPr>
          <w:rFonts w:ascii="Times New Roman" w:hAnsi="Times New Roman"/>
          <w:sz w:val="20"/>
        </w:rPr>
        <w:t>), NXP Funding LLC (</w:t>
      </w:r>
      <w:r>
        <w:rPr>
          <w:rFonts w:ascii="Times New Roman" w:hAnsi="Times New Roman"/>
          <w:i/>
          <w:sz w:val="20"/>
        </w:rPr>
        <w:t>NXP Funding</w:t>
      </w:r>
      <w:r>
        <w:rPr>
          <w:rFonts w:ascii="Times New Roman" w:hAnsi="Times New Roman"/>
          <w:sz w:val="20"/>
        </w:rPr>
        <w:t>) and NXP USA, Inc. (</w:t>
      </w:r>
      <w:r>
        <w:rPr>
          <w:rFonts w:ascii="Times New Roman" w:hAnsi="Times New Roman"/>
          <w:i/>
          <w:sz w:val="20"/>
        </w:rPr>
        <w:t>NXP USA</w:t>
      </w:r>
      <w:r>
        <w:rPr>
          <w:rFonts w:ascii="Times New Roman" w:hAnsi="Times New Roman"/>
          <w:sz w:val="20"/>
        </w:rPr>
        <w:t> and, together with the Company and NXP Funding, the </w:t>
      </w:r>
      <w:r>
        <w:rPr>
          <w:rFonts w:ascii="Times New Roman" w:hAnsi="Times New Roman"/>
          <w:i/>
          <w:sz w:val="20"/>
        </w:rPr>
        <w:t>Issuers</w:t>
      </w:r>
      <w:r>
        <w:rPr>
          <w:rFonts w:ascii="Times New Roman" w:hAnsi="Times New Roman"/>
          <w:sz w:val="20"/>
        </w:rPr>
        <w:t xml:space="preserve"> or we) and the underwriters reserve the right to reject any offer to purchase, in whole or in part, for any reason, or to sell less than all the Notes offered by this prospectus supplement. This prospectus supplement is personal to you and does not constitute an offer to any other person or to the public in general to subscribe for or otherwise acquire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document together with additional information described under the heading Where You Can Find More Information and Incorporation by Reference. We and the underwriters are not making an offer to sell these securities in any jurisdiction where the offer or sale is not permitted. You should not assume that the information we have included in this prospectus supplement or the accompanying prospectus is accurate as of any date other than the date of this prospectus supplement or the accompanying prospectus or that any information we have incorporated by reference is accurate as of any date other than the date of the document incorporated by reference.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The underwriters and Deutsche Bank Trust Company Americas, as trustee (the </w:t>
      </w:r>
      <w:r>
        <w:rPr>
          <w:rFonts w:ascii="Times New Roman" w:hAnsi="Times New Roman"/>
          <w:i/>
          <w:sz w:val="20"/>
        </w:rPr>
        <w:t>Trustee</w:t>
      </w:r>
      <w:r>
        <w:rPr>
          <w:rFonts w:ascii="Times New Roman" w:hAnsi="Times New Roman"/>
          <w:sz w:val="20"/>
        </w:rPr>
        <w:t xml:space="preserve">), make no representation or warranty, express or implied, as to the accuracy or completeness of the information contained in or incorporated by reference into this prospectus supplement. Nothing contained in or incorporated by reference into this prospectus supplement is, or shall be relied upon as, a promise or representation by the underwriters as to the past or future. We have furnished the information contained in and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not making any representation to you regarding the legality of an investment in the Notes under any legal investment or similar laws or regulations. You should not consider any information in this prospectus supplement to be legal, accounting, financial, business or tax advice. You should consult your own counsel, accountant or financial, business and tax advisors for legal, accounting, financial, business or tax advice regarding any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base your decision to invest in the Notes after considering all of the information contained in or incorporated by reference into this prospectus supplement. We and the underwriters have not authorized any other person to provide you with different information or to make any representation not contained in or incorporated by reference into this prospectus supplement. We and the underwriters take no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supplement and the accompany prospectus is accurate only as of the date on the front cover of this prospectus supplement and the accompanying prospectus. You should also assume that the information appearing in any document incorporated or to be incorporated by reference herein and in the accompanying prospectus is accurate only as of the date stated therein. Our business, financial condition, results of operations and prospects may have changed since any such date. Any statement contained in the documents incorporated by reference into this prospectus supplement and the accompanying prospectus will be deemed to be modified or superseded for the purposes of this prospectus supplement to the extent that a later statement contained in or incorporated by reference into this prospectus supplement or the accompanying prospectus modifies or supersedes the earlier statement. Any statement so modified or superseded will not be deemed, except as so modified or superseded, to constitute a part of this prospectus supplement or the accompanying prospectus. The distribution of this prospectus supplement and the offering and sale of the Notes in certain jurisdictions may be restricted by law. See also Underwriting (Conflicts of Interest)Selling Restrictions below. Persons into whose possession this prospectus supplement comes are required to inform themselves about and to observe those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reserve the right to withdraw the offering of the Notes at any time. We and the underwriters also reserve the right to reject any offer to purchase the Notes in whole or in part for any reason or no reason and to allot to any prospective purchaser less than the full amount of the Notes sought by it. </w:t>
      </w:r>
    </w:p>
    <w:p>
      <w:pPr>
        <w:pStyle w:val="TextBody"/>
        <w:bidi w:val="0"/>
        <w:spacing w:before="480" w:after="0"/>
        <w:jc w:val="center"/>
        <w:rPr>
          <w:rFonts w:ascii="Times New Roman" w:hAnsi="Times New Roman"/>
          <w:b/>
          <w:sz w:val="20"/>
        </w:rPr>
      </w:pPr>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The Company, NXP B.V., is a private company with limited liability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 </w:t>
      </w:r>
    </w:p>
    <w:p>
      <w:pPr>
        <w:pStyle w:val="TextBody"/>
        <w:bidi w:val="0"/>
        <w:spacing w:before="240" w:after="0"/>
        <w:jc w:val="left"/>
        <w:rPr>
          <w:rFonts w:ascii="Times New Roman" w:hAnsi="Times New Roman"/>
          <w:sz w:val="20"/>
        </w:rPr>
      </w:pPr>
      <w:r>
        <w:rPr>
          <w:rFonts w:ascii="Times New Roman" w:hAnsi="Times New Roman"/>
          <w:sz w:val="20"/>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w:t>
      </w:r>
      <w:r>
        <w:rPr>
          <w:rFonts w:ascii="Times New Roman" w:hAnsi="Times New Roman"/>
          <w:i/>
          <w:sz w:val="20"/>
        </w:rPr>
        <w:t>behoorlijke rechtspleging</w:t>
      </w:r>
      <w:r>
        <w:rPr>
          <w:rFonts w:ascii="Times New Roman" w:hAnsi="Times New Roman"/>
          <w:sz w:val="20"/>
        </w:rPr>
        <w:t>); (iii) recognition and/or enforcement of that judgment does not conflict with the public policy (</w:t>
      </w:r>
      <w:r>
        <w:rPr>
          <w:rFonts w:ascii="Times New Roman" w:hAnsi="Times New Roman"/>
          <w:i/>
          <w:sz w:val="20"/>
        </w:rPr>
        <w:t>openbare orde</w:t>
      </w:r>
      <w:r>
        <w:rPr>
          <w:rFonts w:ascii="Times New Roman" w:hAnsi="Times New Roman"/>
          <w:sz w:val="20"/>
        </w:rPr>
        <w:t xml:space="preserve">)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 Enforcement of any foreign judgment in the Netherlands will be subject to Dutch civil procedure rules. Judgments rendered in a foreign currency can be enforced against assets in the Netherlands in euro only (at the applicable rate of exchange). Furthermore, a Dutch court may reduce the amount of damages granted by a U.S. court and recognize damages only to the extent that they compensate actual losses or damage. </w:t>
      </w:r>
    </w:p>
    <w:p>
      <w:pPr>
        <w:pStyle w:val="TextBody"/>
        <w:bidi w:val="0"/>
        <w:spacing w:before="480" w:after="0"/>
        <w:jc w:val="center"/>
        <w:rPr>
          <w:rFonts w:ascii="Times New Roman" w:hAnsi="Times New Roman"/>
          <w:b/>
          <w:sz w:val="20"/>
        </w:rPr>
      </w:pPr>
      <w:bookmarkStart w:id="3" w:name="supptoc9418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utilizing a shelf registration process. Under this shelf registration process, we may sell the securities described in the accompanying prospectus from time to time. In this prospectus supplement, we provide you with specific information about the Notes we are selling in this offering and about the offering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Both this prospectus supplement and the accompanying prospectus include or incorporate by reference important information about us and other information you should know before investing in the Notes. This prospectus supplement also adds, updates and changes information contained or incorporated by reference in the accompanying prospectus. To the extent that any statement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as well as the additional information in the documents described below under the heading Where You Can Find More Information and Incorporation by Reference, before investing in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PRESENTATION OF FINANCIAL AND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and other financial data of the Parent presented in this prospectus supplement has been derived from the historical consolidated financial information of the Parent, incorporated by reference into this prospectus supplement. Because the Parent conducts all of its business through the Company, a wholly owned subsidiary, and the Parents only material assets are the direct ownership of 100% of the shares of the Company, the historical consolidated financial statements of the Parent are substantially identical to those of the Company, with the exception of certain intercompany eliminations. NXP Funding and NXP USA are wholly owned, indirect subsidiaries of the Company. Therefore, we have not provided separate historical consolidated financial statements or data for the Issuers. </w:t>
      </w:r>
    </w:p>
    <w:p>
      <w:pPr>
        <w:pStyle w:val="TextBody"/>
        <w:bidi w:val="0"/>
        <w:spacing w:before="240" w:after="0"/>
        <w:jc w:val="left"/>
        <w:rPr>
          <w:rFonts w:ascii="Times New Roman" w:hAnsi="Times New Roman"/>
          <w:sz w:val="20"/>
        </w:rPr>
      </w:pPr>
      <w:r>
        <w:rPr>
          <w:rFonts w:ascii="Times New Roman" w:hAnsi="Times New Roman"/>
          <w:sz w:val="20"/>
        </w:rPr>
        <w:t>In addition to the historical consolidated financial data of the Parent, we also present unaudited adjusted financial information of the Parent. The unaudited adjusted financial information as of June 29, 2025 is presented on an as adjusted basis, after giving effect to the issuance of the Notes offered hereby and the use of a portion of the proceeds therefrom to redeem the 5.350% 2026 Notes and the 3.875% 2026 Notes. Such unaudited adjusted financial information has not otherwise been adjusted for any recent developments or otherwise. Such unaudited adjusted financial information has not been prepared in accordance with the requirements of Regulation S-X of the U.S. Securities Act or in accordance with accounting principles generally accepted in the United States (</w:t>
      </w:r>
      <w:r>
        <w:rPr>
          <w:rFonts w:ascii="Times New Roman" w:hAnsi="Times New Roman"/>
          <w:i/>
          <w:sz w:val="20"/>
        </w:rPr>
        <w:t>U.S. GAAP</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USE OF NON-U.S. GAAP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Parent incorporated by reference herein are presented in accordance with U.S. GAAP. In addition to providing financial information on a basis consistent with U.S. GAAP, the Parent also provides selected financial measures on a non-GAAP basis which are adjusted for specified items and incorporated by reference into this prospectus supplement. The adjustments made to achieve these non-U.S. GAAP financial measures or the non-U.S. GAAP financial measures as specified are described in the 2024 NXP Annual Report (as defined herein) and in the 2025 NXP Q1 and Q2 Reports (as defined herein), which are incorporated by reference herein, including the descriptions of the usefulness of such metrics to management and investors. </w:t>
      </w:r>
    </w:p>
    <w:p>
      <w:pPr>
        <w:pStyle w:val="TextBody"/>
        <w:bidi w:val="0"/>
        <w:spacing w:before="240" w:after="0"/>
        <w:jc w:val="left"/>
        <w:rPr>
          <w:rFonts w:ascii="Times New Roman" w:hAnsi="Times New Roman"/>
          <w:sz w:val="20"/>
        </w:rPr>
      </w:pPr>
      <w:r>
        <w:rPr>
          <w:rFonts w:ascii="Times New Roman" w:hAnsi="Times New Roman"/>
          <w:sz w:val="20"/>
        </w:rPr>
        <w:t xml:space="preserve">In managing the Parents business on a consolidated basis, management develops an annual operating plan, which is approved by its board of directors, using non-U.S. GAAP financial measures. In measuring performance against this plan, management considers the actual or potential impacts on these non-U.S. GAAP financial measures from actions taken to reduce costs with the goal of increasing our gross margin and operating margin and when assessing appropriate levels of research and development efforts. In addition, management relies upon these non-U.S. GAAP financial measures when making decisions about product spending, administrative budgets, and other operating expenses. We believe that these non-GAAP financial measures, when coupled with the U.S. GAAP results and the reconciliations to corresponding U.S. GAAP financial measures, provide a more complete understanding of our results of operations and the factors and trends affecting our business. We believe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they enable investors to perform additional comparisons of our operating results, to assess its liquidity and capital position and to analyze financial performance excluding the effect of expenses unrelated to core operating performance, certain non-cash expenses and share-based compensation expense, which may obscure trends in our underlying performance. This information also enables investors to compare financial results between periods where certain items may vary independent of business performance, and allow for greater transparency with respect to key metrics used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presentation of these and other similar items in the Parents non-U.S. GAAP financial results should not be interpreted as implying that these items are non-recurring, infrequent, or unusual. These non-U.S. GAAP financial measures are provided in addition to, and not as a substitute for, or superior to, measures of financial performance prepared in accordance with U.S. GAAP. </w:t>
      </w:r>
    </w:p>
    <w:p>
      <w:pPr>
        <w:pStyle w:val="TextBody"/>
        <w:bidi w:val="0"/>
        <w:spacing w:before="480" w:after="0"/>
        <w:jc w:val="center"/>
        <w:rPr>
          <w:rFonts w:ascii="Times New Roman" w:hAnsi="Times New Roman"/>
          <w:b/>
          <w:sz w:val="20"/>
        </w:rPr>
      </w:pPr>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We obtained market data and certain industry data and forecasts included in, or incorporated by reference into, this prospectus supplement from internal company surveys, market research, consultant surveys, publicly available information, reports of governmental agencies and industry publications and surveys. Industry surveys, publications, consultant surveys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economic assumptions relied upon therein. Similarly, internal surveys, industry forecasts and market research, which we believe to be reliable based upon our managements knowledge of the industry, have not been independently verified. Statements as to our market position are based on the most recent data available to us. While we are not aware of any misstatements regarding our industry data presented herein, our estimates involve risks and uncertainties and are subject to change based on various factors, including those discussed under the heading Risk Factors appearing elsewhere in this prospectus supplement. </w:t>
      </w:r>
    </w:p>
    <w:p>
      <w:pPr>
        <w:pStyle w:val="TextBody"/>
        <w:bidi w:val="0"/>
        <w:spacing w:before="480" w:after="0"/>
        <w:jc w:val="center"/>
        <w:rPr>
          <w:rFonts w:ascii="Times New Roman" w:hAnsi="Times New Roman"/>
          <w:b/>
          <w:sz w:val="20"/>
        </w:rPr>
      </w:pPr>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The Parent is subject to the informational and reporting requirements of the Securities Exchange Act of 1934, as amended (the </w:t>
      </w:r>
      <w:r>
        <w:rPr>
          <w:rFonts w:ascii="Times New Roman" w:hAnsi="Times New Roman"/>
          <w:i/>
          <w:sz w:val="20"/>
        </w:rPr>
        <w:t>Exchange Act</w:t>
      </w:r>
      <w:r>
        <w:rPr>
          <w:rFonts w:ascii="Times New Roman" w:hAnsi="Times New Roman"/>
          <w:sz w:val="20"/>
        </w:rPr>
        <w:t xml:space="preserve">) and, in accordance therewith, files or furnishes annual, quarterly and current reports and other information with the SEC. The reports and other information filed or furnished by the Parent with the SEC pursuant to the requirements of the Exchange Act may be viewed on the SECs website at </w:t>
      </w:r>
      <w:r>
        <w:rPr>
          <w:rFonts w:ascii="Times New Roman" w:hAnsi="Times New Roman"/>
          <w:sz w:val="20"/>
          <w:u w:val="single"/>
        </w:rPr>
        <w:t>www.sec.gov</w:t>
      </w:r>
      <w:r>
        <w:rPr>
          <w:rFonts w:ascii="Times New Roman" w:hAnsi="Times New Roman"/>
          <w:sz w:val="20"/>
        </w:rPr>
        <w:t xml:space="preserve">. The information contained on the SECs website is expressly not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disclose important information to you by referring you to other documents filed by the Parent separately with the SEC. This information is considered to be a part of this prospectus supplement, except for any information that is superseded by information included directly in this prospectus supplement or incorporated by reference subsequent to the date of this prospectus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incorporates by reference the documents set forth below that the Parent has previously filed with the SEC (other than information deemed furnished and not filed in accordance with SEC rules, including Items 2.02 and 7.01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(the </w:t>
            </w:r>
            <w:r>
              <w:rPr>
                <w:rFonts w:ascii="Times New Roman" w:hAnsi="Times New Roman"/>
                <w:i/>
                <w:sz w:val="20"/>
              </w:rPr>
              <w:t>2024 NXP Annual Report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w:t>
            </w:r>
            <w:hyperlink r:id="rId4">
              <w:r>
                <w:rPr>
                  <w:rStyle w:val="InternetLink"/>
                  <w:rFonts w:ascii="Times New Roman" w:hAnsi="Times New Roman"/>
                  <w:sz w:val="20"/>
                </w:rPr>
                <w:t>March  30, 2025</w:t>
              </w:r>
            </w:hyperlink>
            <w:r>
              <w:rPr>
                <w:rFonts w:ascii="Times New Roman" w:hAnsi="Times New Roman"/>
                <w:sz w:val="20"/>
              </w:rPr>
              <w:t xml:space="preserve"> and </w:t>
            </w:r>
            <w:hyperlink r:id="rId5">
              <w:r>
                <w:rPr>
                  <w:rStyle w:val="InternetLink"/>
                  <w:rFonts w:ascii="Times New Roman" w:hAnsi="Times New Roman"/>
                  <w:sz w:val="20"/>
                </w:rPr>
                <w:t>June 29, 2025</w:t>
              </w:r>
            </w:hyperlink>
            <w:r>
              <w:rPr>
                <w:rFonts w:ascii="Times New Roman" w:hAnsi="Times New Roman"/>
                <w:sz w:val="20"/>
              </w:rPr>
              <w:t xml:space="preserve"> (together, the </w:t>
            </w:r>
            <w:r>
              <w:rPr>
                <w:rFonts w:ascii="Times New Roman" w:hAnsi="Times New Roman"/>
                <w:i/>
                <w:sz w:val="20"/>
              </w:rPr>
              <w:t>2025 NXP Q1 and Q2 Reports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6">
              <w:r>
                <w:rPr>
                  <w:rStyle w:val="InternetLink"/>
                  <w:rFonts w:ascii="Times New Roman" w:hAnsi="Times New Roman"/>
                  <w:sz w:val="20"/>
                </w:rPr>
                <w:t>January  7, 2025</w:t>
              </w:r>
            </w:hyperlink>
            <w:r>
              <w:rPr>
                <w:rFonts w:ascii="Times New Roman" w:hAnsi="Times New Roman"/>
                <w:sz w:val="20"/>
              </w:rPr>
              <w:t xml:space="preserve">, </w:t>
            </w:r>
            <w:hyperlink r:id="rId7">
              <w:r>
                <w:rPr>
                  <w:rStyle w:val="InternetLink"/>
                  <w:rFonts w:ascii="Times New Roman" w:hAnsi="Times New Roman"/>
                  <w:sz w:val="20"/>
                </w:rPr>
                <w:t>January  13, 2025</w:t>
              </w:r>
            </w:hyperlink>
            <w:r>
              <w:rPr>
                <w:rFonts w:ascii="Times New Roman" w:hAnsi="Times New Roman"/>
                <w:sz w:val="20"/>
              </w:rPr>
              <w:t xml:space="preserve">, </w:t>
            </w:r>
            <w:hyperlink r:id="rId8">
              <w:r>
                <w:rPr>
                  <w:rStyle w:val="InternetLink"/>
                  <w:rFonts w:ascii="Times New Roman" w:hAnsi="Times New Roman"/>
                  <w:sz w:val="20"/>
                </w:rPr>
                <w:t>February  10, 2025</w:t>
              </w:r>
            </w:hyperlink>
            <w:r>
              <w:rPr>
                <w:rFonts w:ascii="Times New Roman" w:hAnsi="Times New Roman"/>
                <w:sz w:val="20"/>
              </w:rPr>
              <w:t xml:space="preserve">, </w:t>
            </w:r>
            <w:hyperlink r:id="rId9">
              <w:r>
                <w:rPr>
                  <w:rStyle w:val="InternetLink"/>
                  <w:rFonts w:ascii="Times New Roman" w:hAnsi="Times New Roman"/>
                  <w:sz w:val="20"/>
                </w:rPr>
                <w:t>March  6, 2025</w:t>
              </w:r>
            </w:hyperlink>
            <w:r>
              <w:rPr>
                <w:rFonts w:ascii="Times New Roman" w:hAnsi="Times New Roman"/>
                <w:sz w:val="20"/>
              </w:rPr>
              <w:t xml:space="preserve">, </w:t>
            </w:r>
            <w:hyperlink r:id="rId10">
              <w:r>
                <w:rPr>
                  <w:rStyle w:val="InternetLink"/>
                  <w:rFonts w:ascii="Times New Roman" w:hAnsi="Times New Roman"/>
                  <w:sz w:val="20"/>
                </w:rPr>
                <w:t>April  28, 2025</w:t>
              </w:r>
            </w:hyperlink>
            <w:r>
              <w:rPr>
                <w:rFonts w:ascii="Times New Roman" w:hAnsi="Times New Roman"/>
                <w:sz w:val="20"/>
              </w:rPr>
              <w:t xml:space="preserve"> (excluding Item 2.02) and </w:t>
            </w:r>
            <w:hyperlink r:id="rId11">
              <w:r>
                <w:rPr>
                  <w:rStyle w:val="InternetLink"/>
                  <w:rFonts w:ascii="Times New Roman" w:hAnsi="Times New Roman"/>
                  <w:sz w:val="20"/>
                </w:rPr>
                <w:t>June 12, 2025</w:t>
              </w:r>
            </w:hyperlink>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the Parents Definitive Proxy Statement on </w:t>
            </w:r>
            <w:hyperlink r:id="rId12">
              <w:r>
                <w:rPr>
                  <w:rStyle w:val="InternetLink"/>
                  <w:rFonts w:ascii="Times New Roman" w:hAnsi="Times New Roman"/>
                  <w:sz w:val="20"/>
                </w:rPr>
                <w:t>Schedule 14A</w:t>
              </w:r>
            </w:hyperlink>
            <w:r>
              <w:rPr>
                <w:rFonts w:ascii="Times New Roman" w:hAnsi="Times New Roman"/>
                <w:sz w:val="20"/>
              </w:rPr>
              <w:t xml:space="preserve"> filed with the SEC on April  29, 2025 that were incorporated by reference into the Parents Annual Report on </w:t>
            </w:r>
            <w:hyperlink r:id="rId13">
              <w:r>
                <w:rPr>
                  <w:rStyle w:val="InternetLink"/>
                  <w:rFonts w:ascii="Times New Roman" w:hAnsi="Times New Roman"/>
                  <w:sz w:val="20"/>
                </w:rPr>
                <w:t xml:space="preserve">Form 10-K </w:t>
              </w:r>
            </w:hyperlink>
            <w:r>
              <w:rPr>
                <w:rFonts w:ascii="Times New Roman" w:hAnsi="Times New Roman"/>
                <w:sz w:val="20"/>
              </w:rPr>
              <w:t xml:space="preserve">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future filings the Parent makes with the SEC under Sections 13(a), 13(c), 14 and 15(d) of the Exchange Act after the date of this prospectus supplement (excluding any current reports on Form 8-K to the extent disclosure is furnished and not filed). Those documents are considered to be a part of this prospectus supplement, effective as of the date they are filed. Any statement contained in this prospectus supplement or in a document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to each person to whom a prospectus supplement is delivered, a copy of any or all of the information that has been incorporated by reference in this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NXP Semiconductors </w:t>
      </w:r>
    </w:p>
    <w:p>
      <w:pPr>
        <w:pStyle w:val="TextBody"/>
        <w:bidi w:val="0"/>
        <w:spacing w:before="0" w:after="0"/>
        <w:jc w:val="left"/>
        <w:rPr>
          <w:rFonts w:ascii="Times New Roman" w:hAnsi="Times New Roman"/>
          <w:sz w:val="20"/>
        </w:rPr>
      </w:pPr>
      <w:r>
        <w:rPr>
          <w:rFonts w:ascii="Times New Roman" w:hAnsi="Times New Roman"/>
          <w:sz w:val="20"/>
        </w:rPr>
        <w:t xml:space="preserve">N.V. High Tech Campus 60, 5656 AG Eindhoven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rFonts w:ascii="Times New Roman" w:hAnsi="Times New Roman"/>
          <w:sz w:val="20"/>
        </w:rPr>
      </w:pPr>
      <w:r>
        <w:rPr>
          <w:rFonts w:ascii="Times New Roman" w:hAnsi="Times New Roman"/>
          <w:sz w:val="20"/>
        </w:rPr>
        <w:t xml:space="preserve">+31 40 2729999 </w:t>
      </w:r>
    </w:p>
    <w:p>
      <w:pPr>
        <w:pStyle w:val="TextBody"/>
        <w:bidi w:val="0"/>
        <w:spacing w:before="480" w:after="0"/>
        <w:jc w:val="center"/>
        <w:rPr>
          <w:rFonts w:ascii="Times New Roman" w:hAnsi="Times New Roman"/>
          <w:b/>
          <w:sz w:val="20"/>
        </w:rPr>
      </w:pPr>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presented in, or incorporated by reference into, this prospectus supplement includes forward-looking statements, which are provided under the safe harbor protection of the Private Securities Litigation Reform Act of 1995. When used in, or incorporated by reference into, this document, the words anticipate, believe, estimate, forecast, expect, intend, plan and project and similar expressions, as they relate to us, the Parent, our management or third parties, identify forward-looking statements. Forward-looking statements include statements regarding our business strategy, financial condition, results of operations, market data, the expected use of a portion of the net proceeds of the offering of the Notes to redeem the 5.350% 2026 Notes and the 3.875% 2026 Notes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in addition to those listed under Risk Factors and those included elsewhere in, or incorporated by reference into, this prospectus supplement,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demand and semiconductor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introduce new technologies and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the goods into which our products are incorporated;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trade disputes, potential increase of barriers to international trade, including the imposition of new or increased tariffs, and resulting disruptions to our established supply chains;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actions and regulations, including as a result of executive orders, including restrictions on the export of products and technology;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and evolving cybersecurity threats and privacy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estimate demand and match our production capacity accordingly or obtain supplies from third-party producers;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production from third-party outsourcing partners, and any events that might affect their business or our relationship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adequate and timely supply of equipment and materials from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avoid operational problems and product defects and, if such issues were to arise, to correct them quickly;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form strategic partnerships and joint ventures and successfully cooperate with our strategic alliance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win competitive bid selection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products for use in our customers equipment and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hire and retain key management and senior product engineers;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hostilities, including the invasion of Ukraine by Russia and resulting regional instability, sanctions and any other retaliatory measures taken against Russia, and the continued hostilities and armed conflict in the Middle East, which could adversely impact the global supply chain, disrupt our operations or negatively impact the demand for our products in our primary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good relationships with our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integrate acquired businesses in an efficient and effective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sufficient cash, raise sufficient capital or refinance our debt at or before maturity to meet our debt service, research and development and capital investment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tax laws could have an effect on our estimated effective tax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this prospectus supplement contains or incorporates by reference information concerning the semiconductor industry, our end markets and business generally, which is forward-looking in nature and is based on a variety of assumptions regarding the ways in which the semiconductor industry, our end markets and business will develop. We have based these assumptions on information currently available to us, including through the market research and industry reports referred to in this prospectus supplement or any document incorporated by reference herein.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the Notes. Readers are cautioned not to place undue reliance on these forward-looking statements, which speak to results only as of the date the statements were made. Except for any ongoing obligation to disclose material information as required by the U.S. federal securities laws, we do not have any intention or obligation to publicly update or revise any forward-looking statements made in this prospectus, any prospectus supplement or any related free writing prospectus, whether to reflect any future events or circumstances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are discussed in more detail under Risk Factors herein, in the 2024 NXP Annual Report and in the 2025 NXP Q1 and Q2 Reports, which are incorporated by reference herein. We do not assume any obligation to update any forward-looking statements and disclaim any obligation to update our view of any risks or uncertainties described or incorporated by reference herein or to publicly announce the result of any revisions to the forward-looking statements made in, or incorporated by reference into, this prospectus supplement,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supptoc94185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or incorporated by reference into, this prospectus supplement and the accompanying prospectus. The information set forth in this summary does not contain all of the information that you should consider before making your investment decision. You should carefully read this entire prospectus supplement and the accompanying prospectus, including the factors described or referred to under the heading Risk Factors herein, in the 2024 NXP Annual Report and in the 2025 NXP Q-1 and Q-2 Reports, as well as the consolidated financial statements and related notes and other information incorporated by reference in this prospectus supplement and the accompanying prospectus, before making your investment decision. This summary contains forward-looking statements that contain risks and uncertainties. Our actual results may differ significantly from future results as a result of factors such as those set forth in Risk Factors and Forward-Looking Statements.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the context otherwise requires, all references herein to we, our, us, NXP and the Company are to the Company and its consolidated subsidiaries or to the Issuers, taken together, as the context requires.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are a global semiconductor company and a long-standing supplier in the industry, with over 70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 market applications including: automotive, industrial &amp; Internet of Things, mobile, and communication infrastructure. We engage with leading global original equipment manufacturers (</w:t>
      </w:r>
      <w:r>
        <w:rPr>
          <w:rFonts w:ascii="Times New Roman" w:hAnsi="Times New Roman"/>
          <w:i/>
          <w:sz w:val="20"/>
          <w:bdr w:val="single" w:sz="8" w:space="1" w:color="000000"/>
        </w:rPr>
        <w:t>OEMs</w:t>
      </w:r>
      <w:r>
        <w:rPr>
          <w:rFonts w:ascii="Times New Roman" w:hAnsi="Times New Roman"/>
          <w:sz w:val="20"/>
          <w:bdr w:val="single" w:sz="8" w:space="1" w:color="000000"/>
        </w:rPr>
        <w:t xml:space="preserve">) and sell products in all major geographic regions. As of December 31, 2024 we had approximately 33,100 employees, with research and development activities and manufacturing facilities in Asia, Europe and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three months ended June 29, 2025, we generated revenue of $2,926 million and operating income of $687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corporate seat is in Eindhoven, the Netherlands. Our executive office is at High Tech Campus 60, 5656 AG Eindhoven, the Netherlands, and our telephone number is +31 40 2729999. Our registered agent in the United States is NXP USA, Inc., 6501 William Cannon Dr. West, Austin, Texas 78735, United States of America, phone number +1 512 933 8214.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Regarding The Issuers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NXP B.V., the Company, was incorporated in the Netherlands as a Dutch private company with limited liability (</w:t>
      </w:r>
      <w:r>
        <w:rPr>
          <w:rFonts w:ascii="Times New Roman" w:hAnsi="Times New Roman"/>
          <w:i/>
          <w:sz w:val="20"/>
          <w:bdr w:val="single" w:sz="8" w:space="1" w:color="000000"/>
        </w:rPr>
        <w:t>besloten vennootschap met beperkte aansprakelijkheid</w:t>
      </w:r>
      <w:r>
        <w:rPr>
          <w:rFonts w:ascii="Times New Roman" w:hAnsi="Times New Roman"/>
          <w:sz w:val="20"/>
          <w:bdr w:val="single" w:sz="8" w:space="1" w:color="000000"/>
        </w:rPr>
        <w:t>) on December 21, 1990 as a wholly owned subsidiary of Koninklijke Philips N.V. (</w:t>
      </w:r>
      <w:r>
        <w:rPr>
          <w:rFonts w:ascii="Times New Roman" w:hAnsi="Times New Roman"/>
          <w:i/>
          <w:sz w:val="20"/>
          <w:bdr w:val="single" w:sz="8" w:space="1" w:color="000000"/>
        </w:rPr>
        <w:t>Philips</w:t>
      </w:r>
      <w:r>
        <w:rPr>
          <w:rFonts w:ascii="Times New Roman" w:hAnsi="Times New Roman"/>
          <w:sz w:val="20"/>
          <w:bdr w:val="single" w:sz="8" w:space="1" w:color="000000"/>
        </w:rPr>
        <w:t>). On September 29, 2006, in connection 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hAnsi="Times New Roman"/>
          <w:i/>
          <w:sz w:val="20"/>
          <w:bdr w:val="single" w:sz="8" w:space="1" w:color="000000"/>
        </w:rPr>
        <w:t>Formation</w:t>
      </w:r>
      <w:r>
        <w:rPr>
          <w:rFonts w:ascii="Times New Roman" w:hAnsi="Times New Roman"/>
          <w:sz w:val="20"/>
          <w:bdr w:val="single" w:sz="8" w:space="1" w:color="000000"/>
        </w:rPr>
        <w:t xml:space="preserve">.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NXP Funding LLC is a wholly owned subsidiary of the Company that was formed in Delaware as a limited liability company on September 11, 2006. The address NXP Fundings registered office in Delaware is 251 Little Falls Drive, Wilmington, Delaware 19808 and its telephone number is +1 512 933 8214.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NXP USA, Inc. is a wholly owned, indirect subsidiary of the Company that was incorporated in Delaware as a corporation on December 3, 2003. The address of NXP USAs registered office in Delaware is 251 Little Falls Drive, Wilmington, Delaware 19808 and its telephone number is +1 512 933 8214.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5, 2010, the Parent completed an initial public offering and listed on the Nasdaq Global Select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NXP Semiconductors N.V.s website is at </w:t>
      </w:r>
      <w:r>
        <w:rPr>
          <w:rFonts w:ascii="Times New Roman" w:hAnsi="Times New Roman"/>
          <w:sz w:val="20"/>
          <w:u w:val="single"/>
          <w:bdr w:val="single" w:sz="8" w:space="1" w:color="000000"/>
        </w:rPr>
        <w:t>www.nxp.com</w:t>
      </w:r>
      <w:r>
        <w:rPr>
          <w:rFonts w:ascii="Times New Roman" w:hAnsi="Times New Roman"/>
          <w:sz w:val="20"/>
          <w:bdr w:val="single" w:sz="8" w:space="1" w:color="000000"/>
        </w:rPr>
        <w:t xml:space="preserve">. Information available on, or accessible through, our website is not incorporated into this prospectus supplement by reference and should not be considered a part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chart reflects our corporate structure and our principal indebtedness as of June 29, 2025, on an as adjusted basis after giving effect to the issuance of the Notes offered hereby.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5800" cy="3022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5765800" cy="3022600"/>
                    </a:xfrm>
                    <a:prstGeom prst="rect">
                      <a:avLst/>
                    </a:prstGeom>
                  </pic:spPr>
                </pic:pic>
              </a:graphicData>
            </a:graphic>
          </wp:inline>
        </w:drawing>
      </w:r>
      <w:r>
        <w:rPr>
          <w:bdr w:val="single" w:sz="8" w:space="1" w:color="00000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and NXP Funding entered into the Revolving Credit Agreement on August 26, 2022. As of June 29, 2025, the Company and NXP Funding did not have any borrowings outstanding under the Revolving Credit Agreement. The loans under the Revolving Credit Agreement are guaranteed on a senior unsecured basis by the Parent and NXP USA.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entered into the Facility A Agreement (as defined herein) on November 22, 2024 and the Facility B Agreement (as defined herein) on January 13, 2025. As of June 29, 2025, the Company had $670 million in borrowings outstanding under the Facility A Agreement and $370 million in borrowings outstanding under the Facility B Agreement. The loans under the Facility Agreements are guaranteed on a senior unsecured basis by the Parent, NXP USA and NXP Funding.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NXP Funding and NXP USA entered into the Commercial Paper Program on November 21, 2024. As of June 29, 2025, Company, NXP Funding and NXP USA had $750 million commercial paper notes outstanding with a duration of up to 98 days. The commercial paper notes issued under the Commercial Paper Program are guaranteed on a senior unsecured basis by the Parent.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The Company and NXP Funding have issued the dollar-denominated 5.350% senior unsecured notes due 2026 (the </w:t>
            </w:r>
            <w:r>
              <w:rPr>
                <w:rFonts w:ascii="Times New Roman" w:hAnsi="Times New Roman"/>
                <w:i/>
                <w:sz w:val="16"/>
              </w:rPr>
              <w:t>5.350% 2026 Notes</w:t>
            </w:r>
            <w:r>
              <w:rPr>
                <w:rFonts w:ascii="Times New Roman" w:hAnsi="Times New Roman"/>
                <w:sz w:val="16"/>
              </w:rPr>
              <w:t>) and dollar-denominated 5.550% senior unsecured notes due 2028 (the </w:t>
            </w:r>
            <w:r>
              <w:rPr>
                <w:rFonts w:ascii="Times New Roman" w:hAnsi="Times New Roman"/>
                <w:i/>
                <w:sz w:val="16"/>
              </w:rPr>
              <w:t>5.550% 2028 Notes</w:t>
            </w:r>
            <w:r>
              <w:rPr>
                <w:rFonts w:ascii="Times New Roman" w:hAnsi="Times New Roman"/>
                <w:sz w:val="16"/>
              </w:rPr>
              <w:t xml:space="preserve"> and, together with the 5.350%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Notes, the </w:t>
            </w:r>
            <w:r>
              <w:rPr>
                <w:i/>
              </w:rPr>
              <w:t>December 2018 Notes</w:t>
            </w:r>
            <w:r>
              <w:rPr/>
              <w:t>). The Company, NXP Funding and NXP USA have issued the 3.875% senior unsecured notes due 2026 (the </w:t>
            </w:r>
            <w:r>
              <w:rPr>
                <w:i/>
              </w:rPr>
              <w:t>3.875% 2026 Notes</w:t>
            </w:r>
            <w:r>
              <w:rPr/>
              <w:t>), dollar-denominated 3.150% senior unsecured notes due 2027 (the </w:t>
            </w:r>
            <w:r>
              <w:rPr>
                <w:i/>
              </w:rPr>
              <w:t>3.150% 2027 Notes</w:t>
            </w:r>
            <w:r>
              <w:rPr/>
              <w:t>), dollar-denominated 4.400% senior unsecured notes due 2027 (the </w:t>
            </w:r>
            <w:r>
              <w:rPr>
                <w:i/>
              </w:rPr>
              <w:t>4.400% 2027 Notes</w:t>
            </w:r>
            <w:r>
              <w:rPr/>
              <w:t>), dollar-denominated 4.300% senior unsecured notes due 2029 (the </w:t>
            </w:r>
            <w:r>
              <w:rPr>
                <w:i/>
              </w:rPr>
              <w:t>4.300% 2029 Notes</w:t>
            </w:r>
            <w:r>
              <w:rPr/>
              <w:t> and, together with the 3.875% 2026 Notes, the </w:t>
            </w:r>
            <w:r>
              <w:rPr>
                <w:i/>
              </w:rPr>
              <w:t>June 2019 Notes</w:t>
            </w:r>
            <w:r>
              <w:rPr/>
              <w:t>), dollar-denominated 3.400% senior unsecured notes due 2030 (the </w:t>
            </w:r>
            <w:r>
              <w:rPr>
                <w:i/>
              </w:rPr>
              <w:t>3.400% 2030 Notes</w:t>
            </w:r>
            <w:r>
              <w:rPr/>
              <w:t> and, together the 3.150% 2027 Notes, the </w:t>
            </w:r>
            <w:r>
              <w:rPr>
                <w:i/>
              </w:rPr>
              <w:t>May 2020 Notes</w:t>
            </w:r>
            <w:r>
              <w:rPr/>
              <w:t>), dollar-denominated 2.500% senior unsecured notes due 2031 (the </w:t>
            </w:r>
            <w:r>
              <w:rPr>
                <w:i/>
              </w:rPr>
              <w:t>2.500% 2031 Notes</w:t>
            </w:r>
            <w:r>
              <w:rPr/>
              <w:t>), dollar-denominated 2.650% senior unsecured notes due 2032 (the </w:t>
            </w:r>
            <w:r>
              <w:rPr>
                <w:i/>
              </w:rPr>
              <w:t>2.650% 2032 Notes</w:t>
            </w:r>
            <w:r>
              <w:rPr/>
              <w:t>), dollar-denominated 5.000% senior unsecured notes due 2033 (the </w:t>
            </w:r>
            <w:r>
              <w:rPr>
                <w:i/>
              </w:rPr>
              <w:t>5.000% 2033 Notes</w:t>
            </w:r>
            <w:r>
              <w:rPr/>
              <w:t> and, together with the 4.400% 2027 Notes, the </w:t>
            </w:r>
            <w:r>
              <w:rPr>
                <w:i/>
              </w:rPr>
              <w:t>May 2022 Notes</w:t>
            </w:r>
            <w:r>
              <w:rPr/>
              <w:t>), dollar-denominated 3.250% senior unsecured notes due 2041 (the </w:t>
            </w:r>
            <w:r>
              <w:rPr>
                <w:i/>
              </w:rPr>
              <w:t>3.250% 2041 Notes</w:t>
            </w:r>
            <w:r>
              <w:rPr/>
              <w:t> and, together with the 2.500% 2031 Notes, the </w:t>
            </w:r>
            <w:r>
              <w:rPr>
                <w:i/>
              </w:rPr>
              <w:t>May 2021 Notes</w:t>
            </w:r>
            <w:r>
              <w:rPr/>
              <w:t>), dollar-denominated 3.125% senior unsecured notes due 2042 (the </w:t>
            </w:r>
            <w:r>
              <w:rPr>
                <w:i/>
              </w:rPr>
              <w:t>3.125% 2042 Notes</w:t>
            </w:r>
            <w:r>
              <w:rPr/>
              <w:t>), and dollar-denominated 3.250% senior unsecured notes due 2051 (the </w:t>
            </w:r>
            <w:r>
              <w:rPr>
                <w:i/>
              </w:rPr>
              <w:t>3.250% 2051 Notes</w:t>
            </w:r>
            <w:r>
              <w:rPr/>
              <w:t> and, together with the 2.650% 2032 Notes and the 3.125% 2042 Notes, the </w:t>
            </w:r>
            <w:r>
              <w:rPr>
                <w:i/>
              </w:rPr>
              <w:t>November 2021 Notes</w:t>
            </w:r>
            <w:r>
              <w:rPr/>
              <w:t> and, collectively with the December 2018 Notes, the June 2019 Notes, the May 2020 Notes, the May 2022 Notes and the May 2021 Notes, the </w:t>
            </w:r>
            <w:r>
              <w:rPr>
                <w:i/>
              </w:rPr>
              <w:t>Existing Notes</w:t>
            </w:r>
            <w:r>
              <w:rPr/>
              <w:t xml:space="preserve">). NXP USA is a guarantor of the December 2018 Notes. The Existing Notes are, and the Notes will be, guaranteed on a senior unsecured basis by the Parent. As of June 29, 2025, on an as adjusted basis, after giving effect to the issuances of the Notes offered hereby and the use of a portion of the proceeds to redeem the 5.350% 2026 Notes and the 3.875% 2026 Notes, the Company, NXP Funding and NXP USA would have had $10,000 million aggregate principal amount of Existing Notes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Issuers</w:t>
            </w:r>
            <w:r>
              <w:rPr>
                <w:rFonts w:ascii="Times New Roman" w:hAnsi="Times New Roman"/>
                <w:sz w:val="20"/>
              </w:rPr>
              <w:t xml:space="preserve"> </w:t>
            </w:r>
          </w:p>
        </w:tc>
        <w:tc>
          <w:tcPr>
            <w:tcW w:w="6329" w:type="dxa"/>
            <w:tcBorders/>
          </w:tcPr>
          <w:p>
            <w:pPr>
              <w:pStyle w:val="TableContents"/>
              <w:bidi w:val="0"/>
              <w:spacing w:before="0" w:after="283"/>
              <w:jc w:val="left"/>
              <w:rPr/>
            </w:pPr>
            <w:r>
              <w:rPr/>
              <w:t>NXP B.V. (the </w:t>
            </w:r>
            <w:r>
              <w:rPr>
                <w:i/>
              </w:rPr>
              <w:t>Company</w:t>
            </w:r>
            <w:r>
              <w:rPr/>
              <w:t>), NXP Funding LLC (</w:t>
            </w:r>
            <w:r>
              <w:rPr>
                <w:i/>
              </w:rPr>
              <w:t>NXP Funding</w:t>
            </w:r>
            <w:r>
              <w:rPr/>
              <w:t>) and NXP USA, Inc. (</w:t>
            </w:r>
            <w:r>
              <w:rPr>
                <w:i/>
              </w:rPr>
              <w:t>NXP USA</w:t>
            </w:r>
            <w:r>
              <w:rPr/>
              <w:t> and, collectively with the Company and NXP Funding, the </w:t>
            </w:r>
            <w:r>
              <w:rPr>
                <w:i/>
              </w:rPr>
              <w:t>Issuers</w:t>
            </w:r>
            <w:r>
              <w:rPr/>
              <w:t xml:space="preserve">). The Issuers will be jointly and severally liable for all obligations under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NXP Funding is a wholly owned subsidiary of the Company that has been organized as a limited liability company in Delaware as a special purpose finance subsidiary to facilitate offerings of debt securities, such as the Notes. NXP Funding does not have any operations or assets, other than in connection with prior offerings of debt securities, and does not have any revenue. Accordingly, you should not expect NXP Funding to participate in servicing the principal and interest obligations on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Notes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$500,000,000 aggregate principal amount of 4.300% senior notes due 2028.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$300,000,000 aggregate principal amount of 4.850% senior notes due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$700,000,000 aggregate principal amount of 5.250% senior notes due 2035.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2028 Notes will mature on August 19, 2028.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The 2032 Notes will mature on August 19,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The 2035 Notes will mature on August 19, 2035.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Semi-annually on February 19 and August 19 of each year, commencing February 19, 2026 for the 2028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Semi-annually on February 19 and August 19 of each year, commencing February 19, 2026 for the 2032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Semi-annually on February 19 and August 19 of each year, commencing February 19, 2026 for the 2035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Interest on the Notes will accrue from the issue date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Denominations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Minimum denomination of $2,000 and any integral multiple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Note Guarantee</w:t>
            </w:r>
            <w:r>
              <w:rPr>
                <w:rFonts w:ascii="Times New Roman" w:hAnsi="Times New Roman"/>
                <w:sz w:val="20"/>
              </w:rPr>
              <w:t xml:space="preserve"> </w:t>
            </w:r>
          </w:p>
        </w:tc>
        <w:tc>
          <w:tcPr>
            <w:tcW w:w="6328" w:type="dxa"/>
            <w:tcBorders/>
          </w:tcPr>
          <w:p>
            <w:pPr>
              <w:pStyle w:val="TableContents"/>
              <w:bidi w:val="0"/>
              <w:spacing w:before="0" w:after="283"/>
              <w:jc w:val="left"/>
              <w:rPr/>
            </w:pPr>
            <w:r>
              <w:rPr/>
              <w:t>The Notes will be fully and unconditionally guaranteed on a senior unsecured basis by our parent company, NXP Semiconductors N.V. (the </w:t>
            </w:r>
            <w:r>
              <w:rPr>
                <w:i/>
              </w:rPr>
              <w:t>Parent</w:t>
            </w:r>
            <w:r>
              <w:rPr/>
              <w:t xml:space="preserve">). If we cannot make payments on the Notes when they are due, the Parent must make them instead. The laws of certain jurisdictions may limit the enforceability of the Note Guarantee.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Priority of the Notes and the Note Guarantee</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Notes and the Note Guarantee will be: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306"/>
        <w:gridCol w:w="102"/>
        <w:gridCol w:w="5614"/>
      </w:tblGrid>
      <w:tr>
        <w:trPr/>
        <w:tc>
          <w:tcPr>
            <w:tcW w:w="418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junior to all of the Issuers and the Parents future secured indebtedness,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 In addition, certain existing and future indebtedness and obligations permitted under the respective agreements or indentures, as the case may be, will all benefit from liens over certain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307"/>
        <w:gridCol w:w="101"/>
        <w:gridCol w:w="5614"/>
      </w:tblGrid>
      <w:tr>
        <w:trPr/>
        <w:tc>
          <w:tcPr>
            <w:tcW w:w="4183"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in right of payment with all of the Issuers and the Parents existing and future senior indebtedness, including our Existing Notes, (except that certain series of Existing Notes do not benefit from a guarantee from the Parent) and senior in right of payment to the Issuers and the Parents existing and future subordinated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305"/>
        <w:gridCol w:w="102"/>
        <w:gridCol w:w="5614"/>
      </w:tblGrid>
      <w:tr>
        <w:trPr/>
        <w:tc>
          <w:tcPr>
            <w:tcW w:w="418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of the liabilities, including trade payables, of our other subsidiaries that have not guaranteed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Amounts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Any payments made by or on behalf of a Payor, as defined under Description of the Notes and the Note GuaranteeRedemption for Taxation Reasons, with respect to the Notes will be made without withholding or deduction for taxes in any Relevant Taxing Jurisdiction, as defined under Description of the Notes and the Note GuaranteeWithholding Taxes, unless required by law. If a Payor is required by law to withhold or deduct for such taxes with respect to a payment to the holders or beneficial owners of Notes, the Payor will pay the additional amounts necessary so that the net amount received by the holders or beneficial owners of Notes after the withholding or deduction is not less than the amount that they would have received in the absence of the withholding or deduction, subject to certain exceptions. See Description of the Notes and the Note GuaranteeWithholding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may redeem the Notes of either series, in whole or in part, at any time or from time to time, at the redemption prices described in Description of the Notes and the Note GuaranteeOptional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Tax Redemption</w:t>
            </w:r>
            <w:r>
              <w:rPr>
                <w:rFonts w:ascii="Times New Roman" w:hAnsi="Times New Roman"/>
                <w:sz w:val="20"/>
              </w:rPr>
              <w:t xml:space="preserv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redeem the Notes of either series in whole, but not in part, at any time, upon giving proper notice, if as a result of certain changes in tax law withholding taxes are or would be imposed on amounts payable on the Notes that would require the payment of Additional Amounts (as defined under Description of the Notes and the Note GuaranteeWithholding Taxes). If we decide to so redeem, we must pay you a redemption price equal to the principal amount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plus accrued and unpaid interest and Additional Amounts, if any. See Description of the Notes and the Note GuaranteeRedemption for Taxation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Change of Control</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If we experience a Change of Control Triggering Event (as defined in the indenture governing the Notes) with respect to either series of Notes, we will be required to make an offer to repurchase such series of Notes at a price equal to 101% of their principal amount, plus accrued and unpaid interest, if any, to but excluding the date of repurchase. See Description of the Notes and the Note GuaranteeRepurchase of Notes upon a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Certain Covenants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indenture governing the Notes will contain covenants that, among other things, limit our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5"/>
        <w:gridCol w:w="304"/>
        <w:gridCol w:w="101"/>
        <w:gridCol w:w="5615"/>
      </w:tblGrid>
      <w:tr>
        <w:trPr/>
        <w:tc>
          <w:tcPr>
            <w:tcW w:w="418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305"/>
        <w:gridCol w:w="102"/>
        <w:gridCol w:w="5614"/>
      </w:tblGrid>
      <w:tr>
        <w:trPr/>
        <w:tc>
          <w:tcPr>
            <w:tcW w:w="418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certain liens;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305"/>
        <w:gridCol w:w="101"/>
        <w:gridCol w:w="5615"/>
      </w:tblGrid>
      <w:tr>
        <w:trPr/>
        <w:tc>
          <w:tcPr>
            <w:tcW w:w="418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leaseback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qualifications and exceptions. For more details see Description of the Notes and the Note GuaranteeCertain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the net proceeds to us from this offering, after deducting the underwriting discounts and estimated offering expenses payable by us, will be approximately $1.49 billion.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intend to use the net proceeds from the offering of the Notes to redeem the 5.350% 2026 Notes and the 3.875% 2026 Notes, including all premiums, accrued interest and costs and expenses related to such redemptions. Pending such application, and in the event of any excess net proceeds from the Notes, such proceeds will be temporarily held as cash and other short-term securities or used for general corporate purposes, which may include capital expenditures or short-term debt repayment.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 Market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and the Note Guarantee will be new securities for which there is currently no market. Although the underwriters have informed us that they intend to make a market in the Notes, they are not obligated to do so and they may discontinue market-making at any time without notice. Accordingly, there can be no assurance as to the liquidity of any market for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Global Notes; Book-Entry System</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Each series of Notes will be represented by one or more Global Notes (as defined herein). The Global Notes will be deposited with the Trustee, as custodian for DTC.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vAlign w:val="center"/>
          </w:tcPr>
          <w:p>
            <w:pPr>
              <w:pStyle w:val="TableContents"/>
              <w:bidi w:val="0"/>
              <w:spacing w:before="0" w:after="283"/>
              <w:jc w:val="left"/>
              <w:rPr/>
            </w:pPr>
            <w:r>
              <w:rPr/>
              <w:t> </w:t>
            </w:r>
          </w:p>
        </w:tc>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the Global Notes will be shown on, and transfers of such interests will be effected only through,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records maintained in book-entry form by DTC and its direct and indirect participants, including the depositaries for Clearstream or Euroclear.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Sinking Fund</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will not be entitled to the benefit of any sinking fund.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indenture and the Notes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Tax Considerations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For U.S. federal income tax consequences of the investment in the Notes, see Tax Considerations in this prospectus supplement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Trustee, Registrar, Principal Paying Agent and Transfer Agent</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Deutsche Bank Trust Company Americas.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Certain of the underwriters and/or certain of their respective affiliates may own a portion of the 5.350% 2026 Notes or the 3.875% 2026 Notes and, as a result of our intended use of a portion of the net proceeds from this offering to redeem the 5.350% 2026 Notes and the 3.875% 2026 Notes, they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 See Underwriting (Conflicts of Interest)Conflicts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An investment in the Notes involves a high degree of risk. You should carefully consider the information set forth under Risk Factors and all of the information in or incorporated by reference into this prospectus supplement before deciding to invest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toc94185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a high degree of risk. Before investing in the Notes, you should carefully consider the risks described below as well as other factors and information included in or incorporated by reference into this prospectus supplement and the accompanying prospectus, including the risk factors set forth in the 2024 NXP Annual Report, certain information set forth in the 2025 NXP Q-1 and Q-2 Reports and our financial statements and related notes, all of which are incorporated by reference into this prospectus supplement and the accompanying prospectus. Any such risks could materially and adversely affect our business, financial condition, results of operations or liquidity. The selected risks described below and in the 2024 NXP Annual Report are not the only risks facing us. Our business, financial condition, results of operations or liquidity could also be adversely affected by additional factors that apply to all companies generally, as well as other risks that are not currently known to us or that we currently view to be immaterial. While we attempt to mitigate known risks to the extent we believe to be practicable and reasonable, we can provide no assurance, and we make no representation, that our mitigation efforts will be successful. The occurrence of the risks described below and in the 2024 NXP Annual Report or such additional risks could have a material adverse impact on our business, financial condition, results of operations, ability to make payments on the Notes or on the trading price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We have substantial leverage. For a description of our outstanding indebtedness as of June 29, 2025 and as adjusted to reflect the issuance of the Notes offered hereby and the use of the proceeds therefrom, see Capitalization. Our leverage could have important consequences for you,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economic, industry or 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 substantial portion of cash flow from operations to be dedicated to the payment of principal and interest on our indebtedness, therefore reducing our ability to use our cash flow to fund our operations, capital expenditures and future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exposing us to the risk of increased interest rates because certain of our indebtedness, including our loans under the Revolving Credit Agreement (as defined below) and the Facility Agreements (as defined below) and commercial paper notes issued under the Commercial Paper Program (as defined below), may bear interest at a variable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obligations with respect to our indebtedness, including the Notes, and any failure to comply with the obligations of any of our debt instruments, including restrictive covenants and borrowing conditions, could result in an event of default under the indenture governing the Notes and the indentures and agreements governing such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us from making strategic acquisitions or causing us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for working capital, capital expenditures, restructurings, product development, research and development, debt service requirements, investments, acquisitions and general corporate or other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issuance of the Notes offered hereby and the redemption of the 5.350% 2026 Notes and the 3.875% 2026 Notes, we would have had $11,728 million of indebtedness as of June 29,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and our subsidiaries may be able to incur significant additional amounts of debt, which could further exacerbate the risks associated with our substantial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may incur substantial additional indebtedness in the future. The Revolving Credit Agreement, the Facility Agreements, the Commercial Paper Program and the indentures governing the Existing Notes do not contain restrictions on the incurrence of additional indebtedness, except in certain circumstances. If new debt is added to our and our subsidiaries existing debt levels, the related risks that we will face would increase. In addition, the indenture governing the Notes will not prevent us from incurring additional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bound by restrictive covenants contained in the Revolving Credit Agreement, the Facility Agreements, the Commercial Paper Program and the indentures governing the Existing Notes, which may restrict our ability to pursue our business strategies or repay the Notes. </w:t>
      </w:r>
    </w:p>
    <w:p>
      <w:pPr>
        <w:pStyle w:val="TextBody"/>
        <w:bidi w:val="0"/>
        <w:spacing w:before="120" w:after="0"/>
        <w:jc w:val="left"/>
        <w:rPr>
          <w:rFonts w:ascii="Times New Roman" w:hAnsi="Times New Roman"/>
          <w:sz w:val="20"/>
        </w:rPr>
      </w:pPr>
      <w:r>
        <w:rPr>
          <w:rFonts w:ascii="Times New Roman" w:hAnsi="Times New Roman"/>
          <w:sz w:val="20"/>
        </w:rPr>
        <w:t xml:space="preserve">Restrictive covenants in certain of our existing indebtedness may in certain circumstances limit our ability, among other things,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consolidations, mergers or sales of substantially all of our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Description of Other IndebtednessRevolving Credit AgreementCovenants, Description of Other IndebtednessFacility A AgreementCovenants &amp; Events of Default and Description of Other IndebtednessFacility B AgreementCovenants &amp;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comply with the covenants contained in the Revolving Credit Agreement, the Facility Agreements, the Commercial Paper Program, the indentures governing the Existing Notes or any other debt agreements that we may have, including as a result of events beyond our control, could result in an event of default which could materially and adversely affect our operating results and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Revolving Credit Agreement, the Facility Agreements, the Commercial Paper Program and the indentures governing the Existing Notes or any other debt arrangements that we may have require us to comply with various covenants. If there were an event of default under any of our debt instruments that was not cured or waived, the holders of the defaulted debt could terminate commitments to lend and cause all amounts outstanding with respect to the debt to be due and payable immediately, which in turn could result in cross defaults under our other debt instruments. Our assets and cash flow may not be sufficient to fully repay borrowings under all of our outstanding debt instruments if some or all of these instruments are accelerated upon an event of default. If, when required, we are unable to repay, refinance or restructure our indebtedness under, or amend the covenants contained in, the Revolving Credit Agreement, the Facility Agreements, the Commercial Paper Program or such other agreements governing our indebtedness, or if a default otherwise occurs, (i) the lenders or holders of such indebtedness could elect to terminate their commitments thereunder and cease making further loans and issuing or renewing letters of credit or commercial paper notes and (ii) the lenders or holders of such indebtedness may declare all outstanding borrowings and other amounts, together with accrued interest and other fees, to be immediately due and payable and thereby prevent us from making payments on the Notes. Any such actions could force us into bankruptcy or liquidation, and we might not be able to repay our obligations under the Notes in such an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Insolvency laws and other limitations on the Note Guarantee may adversely affect their validity and enforceability.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Notes will be guaranteed by the Parent. The Parent is organized under the laws of the Netherlands. Applicable fraudulent transfer and conveyance, equitable principles and insolvency laws and limitations in the Netherlands on the recognition and enforceability of judgments obtained in New York courts in such jurisdictions could limit the enforceability of the Note Guarantee against the Parent. Courts in the Netherlands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also in certain circumstances avoid the Note Guarantee where the Company is close to or in the vicinity of insolvency. The following discussion of fraudulent transfer, conveyance and insolvency law, although an overview, describes generally applicable terms and principles, which are defined under the Netherlands fraudulent transfer and insolvency statutes. Further detail and an overview of the enforceability issues as they relate to the Note Guarantee is set forth under Limitations on Validity and Enforceability of Note Guarantee included elsewhere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creditors of the Parent or in an insolvency proceeding, the appointed insolvency administrator may challenge the Note Guarantee, and intercompany obligations generally, as fraudulent transfers or conveyances or on other grounds. If so, such laws may permit a court, if it makes certain findings,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 or invalidate all or a portion of the Parents obligations under its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that holders of the Notes return any amounts paid under the Note Guarantee to the Parent or to a fund for the benefit of the Parents creditors;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other action that is detrimental to you.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cannot satisfy our obligations under the Notes and the Note Guarantee is found to be a fraudulent transfer or conveyance or is otherwise set aside, we cannot assure you that we can ever repay in full any amounts outstanding under the Notes. In addition, the liability of the Parent under its Note Guarantee will be limited to the amount that will result in the Note Guarantee not constituting a fraudulent conveyance or improper corporate distribution or otherwise being set aside. However, there can be no assurance as to what standard a court would apply in making a determination of the maximum liability of the Parent and whether a court would give effect to such attempted limitation. Also, there is a possibility that the entire Note Guarantee may be set aside, in which case, the entire liability may be extinguished. </w:t>
      </w:r>
    </w:p>
    <w:p>
      <w:pPr>
        <w:pStyle w:val="TextBody"/>
        <w:bidi w:val="0"/>
        <w:spacing w:before="240" w:after="0"/>
        <w:jc w:val="left"/>
        <w:rPr>
          <w:rFonts w:ascii="Times New Roman" w:hAnsi="Times New Roman"/>
          <w:sz w:val="20"/>
        </w:rPr>
      </w:pPr>
      <w:r>
        <w:rPr>
          <w:rFonts w:ascii="Times New Roman" w:hAnsi="Times New Roman"/>
          <w:sz w:val="20"/>
        </w:rPr>
        <w:t xml:space="preserve">In order to initiate any of these actions under fraudulent transfer or other applicable principles, courts typically may determine that, at the time the Note Guarantee was issued, the Issuers or the Parent: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such Note Guarantee with the intent or knowledge of hindering, delaying or defrauding current or future creditors or with a desire to prefer some creditors over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such Note Guarantee in a situation where a prudent businessman as a shareholder of our company would have contributed equity to our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received less than reasonably equivalent value for incurring the debt represented by such Note Guarantee on the basis that such Note Guarantee was incurred for our benefit, and only indirectly the Parents benefit, or some other basis and (1) was insolvent or rendered insolvent by reason of the issuance of the Note Guarantee, or subsequently became insolvent for other reasons; (2) was engaged, or about to engage, in a business transaction for which the Parents (or the Companys, as applicable) assets were unreasonably small; or (3) intended to incur, or believed it would incur, debts beyond its ability to make required payments as and when they would become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Different jurisdictions evaluate insolvency on various criteria, but the Company or the Parent generally may in different jurisdictions be considered insolvent at the time it issued the Note Guarantee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liabilities exceed the fair market value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cannot pay its debts as and when they become due;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saleable value of its assets is less than the amount required to pay its total existing debts and liabilities, including contingent and prospective liabilities, as they mature or become absolute.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assure you which jurisdictions would assume authority over the Company or the Parent at any point in time in the future, or which standard a court would apply in determining whether any of the Issuers or the Parent was insolvent as of the date the Note Guarantee was issued or that, regardless of the method of valuation, a court would not determine that any of the Issuers or the Parent was insolvent on that date, or that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court would not determine, regardless of whether or not any of the Issuers or the Parent was insolvent on the date the Note Guarantee was issued, that payments to holders of the Notes constituted fraudulent transfers on other grounds.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to service and repay all of our indebtedness, including the Notes, and may be forced to take other actions to satisfy our obligations under our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or to refinance our debt obligations depends on our financial condition and operating performance, which is subject to prevailing economic and competitive conditions and to certain financial, business, competitive, legislative, regulatory and other factors beyond our control. See Risk FactorsRisks related to the semiconductor industry and the markets in which we participate included in the 2024 NXP Annual Report and other risk factors incorporated herein by reference. In the future, we may not be able to maintain a level of cash flows from operating activities sufficient to permit us to pay the principal, premium, if any, and interest on our indebtedness, including the Notes. Our business may not generate sufficient cash flow from operations, or future borrowings under the Revolving Credit Agreement or commercial paper notes under the Commercial Paper Program or from other sources may not be available to us in an amount sufficient to enable us to repay our indebtedness, including the Notes, or to fund our other liquidity needs, including our working capital and capital expenditure requirements, and we may be forced to reduce or delay capital expenditures, sell assets or operations, seek additional capital or restructure or refinance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and capital resources are insufficient to fund our debt service obligations, we may be forced to reduce or delay investments and capital expenditures, or to sell assets, seek additional capital, restructure or refinance our indebtedness, including the Notes, or reduce or delay capital expenditures, strategic acquisitions, investments and alliances, any of which could have a material adverse effect on our business. We cannot guarantee that we will be able to obtain enough capital to service our debt and fund our planned capital expenditures and business plan.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we cannot make scheduled payments on our debt, we will be in default and, as a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our debt securities could declare all outstanding principal and interest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lenders under the Revolving Credit Agreement and the Facility Agreements could terminate their commitments to lend us money and declare all amounts owing thereunder to be immediately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issue additional commercial paper notes under the Commercial Paper Program and any outstanding commercial paper notes will be immediately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creditors may accelerate obligations owed to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be forced into bankruptcy or liquidation.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Enforcing your rights as a holder of the Notes or under the Note Guarantee across multiple jurisdictions may be difficult.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by NXP B.V., which is incorporated under the laws of the Netherlands and NXP Funding LLC and NXP USA, Inc., which were formed under the laws of the state of Delaware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United States, and guaranteed by the Parent, which is incorporated under the laws of the Netherlands. In the event of bankruptcy, insolvency or a similar event relating to the Issuers or the Parent, proceedings could be initiated in any of these jurisdictions. Your rights under the Notes and the Note Guarantee will thus be subject to the laws of the Netherlands and the state of Delaware in the United States with respect to the Notes, and the laws of the Netherlands with respect to the Note Guarantee, and you may not be able to effectively enforce your rights in such bankruptcy, insolvency and other similar proceedings. Moreover, such proceedings are typically complex and costly for creditors and often result in substantial uncertainty and delay in the enforcement of creditors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and the Note Guarantee are effectively junior to all of the Issuers and the Parents secured debt and structurally subordinated to all of the liabilities, including trade payables, of our other subsidiaries that have not guaranteed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Note Guarantee will rank equal in right of payment with all of the Issuers and the Parents existing and future senior indebtedness, but will be effectively junior to all of the Issuers and the Parents future secured indebtedness to the extent of the value of the assets securing such indebtedness and effectively junior in certain circumstances to indebtedness incurred under the Revolving Credit Agreement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other subsidiaries that have not guaranteed the Notes. The indenture governing the Notes will not prohibit the Issuers from incurring additional senior debt or secured debt, nor will it prohibit any of the Companys subsidiaries from incurring additional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our assets that secure our other debt will be available to pay obligations in respect of the Notes only after such secured debt has been repaid in full from these assets. There may not be sufficient assets remaining to pay amounts due on any or all of the Notes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governing the Notes will not limit our ability to incur additional indebtedness, pay dividends, repurchase securities, engage in transactions with affiliates or engage in other activities that could adversely affect our ability to pay our obligations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Notes will contain only limited restrictive covenants. The indenture will not limit our or our subsidiaries ability to incur additional indebtedness, issue or repurchase securities, pay dividends or engage in transactions with affiliates. We, therefore, may pay dividends and incur additional debt, including secured indebtedness in certain circumstances or indebtedness by, or other obligations of, our subsidiaries to which the Notes would be structurally subordinated. Our ability to incur additional indebtedness and use our funds for numerous purposes may limit the funds available to pay our obligations under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required to pay any Additional Amounts as a result of certain changes to tax law, we would have the option to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If certain changes in the law of any Relevant Taxing Jurisdiction become effective that would impose withholding taxes or other deductions on the payments on the Notes or the Note Guarantee, that would require the payment of Additional Amounts, we may redeem the Notes in whole, but not in part, at any time, at a redemption price of 100% of the principal amount, plus accrued and unpaid interest, if any, and Additional Amounts, if any, to the date of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States civil liabilities may not be enforceable against us.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Parent are incorporated under the laws of the Netherlands and substantial portions of our assets are located outside of the United States. In addition, certain members of our board, our officers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experts named herein reside outside the United States. As a result, it may be difficult for investors to effect service of process within the United States upon us or one of the Parent or such other persons residing outside the United States, or to enforce outside the United States judgments obtained against such persons in U.S. courts in any action. In addition, it may be difficult for investors to enforce, in original actions brought in courts in jurisdictions located outside the United States, rights predicated upon the U.S. laws. See Enforcement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 or securities laws of any State or territory within the United States, will not be directly enforceable in the Netherlands. </w:t>
      </w:r>
    </w:p>
    <w:p>
      <w:pPr>
        <w:pStyle w:val="TextBody"/>
        <w:bidi w:val="0"/>
        <w:spacing w:before="240" w:after="0"/>
        <w:jc w:val="left"/>
        <w:rPr>
          <w:rFonts w:ascii="Times New Roman" w:hAnsi="Times New Roman"/>
          <w:sz w:val="20"/>
        </w:rPr>
      </w:pPr>
      <w:r>
        <w:rPr>
          <w:rFonts w:ascii="Times New Roman" w:hAnsi="Times New Roman"/>
          <w:sz w:val="20"/>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w:t>
      </w:r>
      <w:r>
        <w:rPr>
          <w:rFonts w:ascii="Times New Roman" w:hAnsi="Times New Roman"/>
          <w:i/>
          <w:sz w:val="20"/>
        </w:rPr>
        <w:t>behoorlijke rechtspleging</w:t>
      </w:r>
      <w:r>
        <w:rPr>
          <w:rFonts w:ascii="Times New Roman" w:hAnsi="Times New Roman"/>
          <w:sz w:val="20"/>
        </w:rPr>
        <w:t>); (iii) recognition and/or enforcement of that judgment does not conflict with the public policy (</w:t>
      </w:r>
      <w:r>
        <w:rPr>
          <w:rFonts w:ascii="Times New Roman" w:hAnsi="Times New Roman"/>
          <w:i/>
          <w:sz w:val="20"/>
        </w:rPr>
        <w:t>openbare orde</w:t>
      </w:r>
      <w:r>
        <w:rPr>
          <w:rFonts w:ascii="Times New Roman" w:hAnsi="Times New Roman"/>
          <w:sz w:val="20"/>
        </w:rPr>
        <w:t xml:space="preserve">) of the Netherlands; and (iv) recognition and/or enforcement of that judgment is not irreconcilable with a decision of a Netherlands court rendered between the same parties or with an earlier decision of a foreign court rendered between the same parties in a dispute that is about the same subject matter and that is based on the same cause, provided that earlier decision can be recognized in the Netherlands. Enforcement of any foreign judgment in the Netherlands will be subject to Dutch civil procedure rules. Judgments rendered in a foreign currency can be enforced against assets in the Netherlands in euro only (at the applicable rate of exchange). Furthermore, a Dutch court may reduce the amount of damages granted by a U.S. court and recognize damages only to the extent that the compensate actual losses or damage.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there can be no assurance that U.S. investors will be able to enforce against us, the Parent or members of our board of directors, officers or certain experts named herein who are residents of the Netherlands or countries other than the United States any judgments obtained in U.S. courts in civil and commercial matters.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is doubt as to whether a Dutch court would impose civil liability on us, the Parent, the members of our board of directors, our officers or certain experts named herein in an original action predicated solely upon the U.S. laws brought in a court of competent jurisdiction in the Netherlands against us, the Parent or such members, officers or experts,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fulfill our repurchase obligations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If we experience a change of control triggering event (as defined in the indenture governing the Notes) with respect to a series of Notes, we will be required to make an offer to repurchase such series of Notes at a price equal to 101% of their principal amount, plus accrued and unpaid interest, if any, to but excluding the date of repurchase. See Description of the Notes and the Note GuaranteeRepurchase of Notes upon a Change of Control Triggering Event. Similarly, upon the occurrence of a change of control, we will be required to make a change of control offer under the Existing Notes.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triggering event under the Notes or change of control triggering event under the Existing Notes occurs, and a change of control offer is made, there can be no assurance that we will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available funds sufficient to pay the change of control purchase price for any or all of the Notes and/or the Existing Notes that might be delivered by holders of the Notes and/or the Existing Notes seeking to accept the change of control offer and, accordingly, none of the holders of the Notes or the Existing Notes may receive the change of control purchase price for their Notes or Existing Notes. Our failure to make or consummate the change of control offer or pay the change of control purchase price when due will give the trustee and the holders of the Notes or the Existing Notes the rights, or rights similar to the rights described under Description of the Notes and the Note GuaranteeEvents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Moreover, any change of control would constitute an event of default under the Revolving Credit Agreement and Facility Agreements. Therefore, upon the occurrence of a change of control, the lenders under the Revolving Credit Agreement and Facility Agreements would have the right to terminate lending commitments and accelerate their loans, in which case, we would be required to prepay all of our outstanding obligations under the Revolving Credit Agreement and Facility Agreements,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provision relating to a change of control may make it more difficult for a potential acquirer to obtain control of us. In addition, some important corporate events, such as leveraged recapitalizations, that would increase the level of our debt may not constitute a change of control event under the Notes, the Existing Notes, the Revolving Credit Agreement or the Facility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adverse rating of the Notes or the Existing Notes may cause the trading prices of the Notes to fall. </w:t>
      </w:r>
    </w:p>
    <w:p>
      <w:pPr>
        <w:pStyle w:val="TextBody"/>
        <w:bidi w:val="0"/>
        <w:spacing w:before="120" w:after="0"/>
        <w:jc w:val="left"/>
        <w:rPr>
          <w:rFonts w:ascii="Times New Roman" w:hAnsi="Times New Roman"/>
          <w:sz w:val="20"/>
        </w:rPr>
      </w:pPr>
      <w:r>
        <w:rPr>
          <w:rFonts w:ascii="Times New Roman" w:hAnsi="Times New Roman"/>
          <w:sz w:val="20"/>
        </w:rPr>
        <w:t xml:space="preserve">One or more rating services could potentially lower or withdraw entirely the ratings of the Notes or any of the Existing Notes. A rating is not a recommendation to buy, sell or hold securities and may be subject to revision, suspension or withdrawal by the rating agency at any time. No assurance can be given that a rating will remain constant for any given period of time or that a rating will not be lowered or withdrawn entirely by the rating service if, in its judgment, circumstances in the future so warrant. A suspension, reduction or withdrawal at any time of the ratings assigned to the Notes or the Existing Notes by one or more of the rating services may adversely affect the cost and terms and conditions of our financing and could adversely affect the trading prices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no established trading markets for the Notes and no market for the Notes may develop. You may not be able to resell your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new issues of securities. There are no established public trading markets for the Notes, and active trading markets may not develop. There may be limited liquidity of any trading markets that do develop for the Notes. In addition, the liquidity of the trading markets in the Notes and the market prices quoted for the Notes may be adversely affected by changes in the overall market for these types of securities and by changes in our financial performance or prospects or in the prospects for companies in our industry generally. As a consequence, active trading markets may not develop for the Notes, holders of the Notes may not be able to sell their Notes, or, even if they can sell their Notes, they may not be able to sell them at acceptable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oc94185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of approximately $1.49 billion from the sale of the Notes in this offering, after deducting the underwriting discounts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offering of the Notes to redeem the 5.350% 2026 Notes and the 3.875% 2026 Notes, including all premiums, accrued interest and costs and expenses related to such redemptions. Pending such application, and in the event of any excess net proceeds from the Notes, such proceeds will be temporarily held as cash and other short-term securities or used for general corporate purposes, which may include capital expenditures or short-term debt repayment.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2025, $500 million aggregate principal amount of the 5.350% 2026 Notes was outstanding. The 5.350% 2026 Notes bear interest at a rate per annum of 5.350% and mature on March 1, 2026. The redemption of the 5.350% 2026 Notes will be subject to a make-whole premium prior to January 1, 2026, after which the redemption will be at par. As of June 29, 2025, $750 million aggregate principal amount of the 3.875% 2026 Notes was outstanding. The 3.875% 2026 Notes bear interest at a rate per annum of 3.875% and mature on June 18, 2026. The redemption of the 3.875% 2026 Notes will be subject to a make-whole premium prior to April 18, 2026, after which the redemption will be at par. We are under no obligation to redeem the 5.350% 2026 Notes or the 3.875% 2026 Notes prior to their respective maturities. This prospectus supplement does not constitute a notice of redemption for the 5.350% 2026 Notes or the 3.875% 2026 Notes; such notice of redemption will be made in accordance with the indenture governing such notes.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and/or certain of their respective affiliates may own a portion of the 5.350% 2026 Notes or the 3.875% 2026 Notes and, as a result of our intended use of a portion of the net proceeds from this offering to redeem the 5.350% 2026 Notes and the 3.875% 2026 Notes, they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 See Underwriting (Conflicts of Interest)Conflicts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94185_5"/>
      <w:bookmarkEnd w:id="7"/>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June 29, 2025. </w:t>
      </w:r>
    </w:p>
    <w:p>
      <w:pPr>
        <w:pStyle w:val="TextBody"/>
        <w:bidi w:val="0"/>
        <w:spacing w:before="240" w:after="0"/>
        <w:jc w:val="left"/>
        <w:rPr>
          <w:rFonts w:ascii="Times New Roman" w:hAnsi="Times New Roman"/>
          <w:sz w:val="20"/>
        </w:rPr>
      </w:pPr>
      <w:r>
        <w:rPr>
          <w:rFonts w:ascii="Times New Roman" w:hAnsi="Times New Roman"/>
          <w:sz w:val="20"/>
        </w:rPr>
        <w:t xml:space="preserve">Our cash and cash equivalents and capitalization is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after giving effect to the issuance of the Notes offered hereby and the application of the net proceeds from the issuance of the Notes for the redemption of all of the 5.350% 2026 Notes and the 3.875% 2026 Notes (but without giving effect to any premium that may be paid in connection with such redemptions) as described under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table together with the section of this prospectus supplement entitled Use of Proceeds, with the sections entitled Managements Discussion and Analysis of Financial Condition and Results of Operations in the 2024 NXP Annual Report and in the 2025 NXP Q1 and Q2 Reports and with the consolidated financial statement and accompanying notes incorporated by reference into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38"/>
        <w:gridCol w:w="397"/>
        <w:gridCol w:w="148"/>
        <w:gridCol w:w="795"/>
        <w:gridCol w:w="63"/>
        <w:gridCol w:w="402"/>
        <w:gridCol w:w="159"/>
        <w:gridCol w:w="847"/>
        <w:gridCol w:w="356"/>
      </w:tblGrid>
      <w:tr>
        <w:trPr/>
        <w:tc>
          <w:tcPr>
            <w:tcW w:w="7038"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38"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w:t>
              <w:br/>
              <w:t>adjusted</w:t>
            </w:r>
          </w:p>
        </w:tc>
        <w:tc>
          <w:tcPr>
            <w:tcW w:w="356" w:type="dxa"/>
            <w:tcBorders/>
            <w:vAlign w:val="bottom"/>
          </w:tcPr>
          <w:p>
            <w:pPr>
              <w:pStyle w:val="TableContents"/>
              <w:bidi w:val="0"/>
              <w:spacing w:before="0" w:after="283"/>
              <w:jc w:val="left"/>
              <w:rPr/>
            </w:pPr>
            <w:r>
              <w:rPr/>
              <w:t> </w:t>
            </w:r>
          </w:p>
        </w:tc>
      </w:tr>
      <w:tr>
        <w:trPr/>
        <w:tc>
          <w:tcPr>
            <w:tcW w:w="7038"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24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29, 2025</w:t>
            </w:r>
          </w:p>
        </w:tc>
        <w:tc>
          <w:tcPr>
            <w:tcW w:w="356" w:type="dxa"/>
            <w:tcBorders/>
            <w:vAlign w:val="bottom"/>
          </w:tcPr>
          <w:p>
            <w:pPr>
              <w:pStyle w:val="TableContents"/>
              <w:bidi w:val="0"/>
              <w:spacing w:before="0" w:after="283"/>
              <w:jc w:val="left"/>
              <w:rPr/>
            </w:pPr>
            <w:r>
              <w:rPr/>
              <w:t> </w:t>
            </w:r>
          </w:p>
        </w:tc>
      </w:tr>
      <w:tr>
        <w:trPr/>
        <w:tc>
          <w:tcPr>
            <w:tcW w:w="7038"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2414" w:type="dxa"/>
            <w:gridSpan w:val="6"/>
            <w:tcBorders/>
            <w:vAlign w:val="bottom"/>
          </w:tcPr>
          <w:p>
            <w:pPr>
              <w:pStyle w:val="TableContents"/>
              <w:bidi w:val="0"/>
              <w:spacing w:before="0" w:after="283"/>
              <w:jc w:val="center"/>
              <w:rPr>
                <w:b/>
              </w:rPr>
            </w:pPr>
            <w:r>
              <w:rPr>
                <w:b/>
              </w:rPr>
              <w:t>($ in millions)</w:t>
            </w:r>
          </w:p>
        </w:tc>
        <w:tc>
          <w:tcPr>
            <w:tcW w:w="356" w:type="dxa"/>
            <w:tcBorders/>
            <w:vAlign w:val="bottom"/>
          </w:tcPr>
          <w:p>
            <w:pPr>
              <w:pStyle w:val="TableContents"/>
              <w:bidi w:val="0"/>
              <w:spacing w:before="0" w:after="283"/>
              <w:jc w:val="left"/>
              <w:rPr/>
            </w:pPr>
            <w:r>
              <w:rPr/>
              <w:t> </w:t>
            </w:r>
          </w:p>
        </w:tc>
      </w:tr>
      <w:tr>
        <w:trPr/>
        <w:tc>
          <w:tcPr>
            <w:tcW w:w="7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3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3,170</w:t>
            </w:r>
          </w:p>
        </w:tc>
        <w:tc>
          <w:tcPr>
            <w:tcW w:w="63"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3,363</w:t>
            </w:r>
          </w:p>
        </w:tc>
        <w:tc>
          <w:tcPr>
            <w:tcW w:w="356" w:type="dxa"/>
            <w:tcBorders/>
            <w:shd w:fill="CCEEFF" w:val="clear"/>
            <w:vAlign w:val="bottom"/>
          </w:tcPr>
          <w:p>
            <w:pPr>
              <w:pStyle w:val="TableContents"/>
              <w:bidi w:val="0"/>
              <w:spacing w:before="0" w:after="283"/>
              <w:jc w:val="left"/>
              <w:rPr/>
            </w:pPr>
            <w:r>
              <w:rPr/>
              <w:t> </w:t>
            </w:r>
          </w:p>
        </w:tc>
      </w:tr>
      <w:tr>
        <w:trPr/>
        <w:tc>
          <w:tcPr>
            <w:tcW w:w="7038"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r>
      <w:tr>
        <w:trPr/>
        <w:tc>
          <w:tcPr>
            <w:tcW w:w="7038"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debt(2)</w:t>
            </w:r>
          </w:p>
        </w:tc>
        <w:tc>
          <w:tcPr>
            <w:tcW w:w="3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1,999</w:t>
            </w:r>
          </w:p>
        </w:tc>
        <w:tc>
          <w:tcPr>
            <w:tcW w:w="6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749</w:t>
            </w:r>
          </w:p>
        </w:tc>
        <w:tc>
          <w:tcPr>
            <w:tcW w:w="356" w:type="dxa"/>
            <w:tcBorders/>
            <w:vAlign w:val="bottom"/>
          </w:tcPr>
          <w:p>
            <w:pPr>
              <w:pStyle w:val="TableContents"/>
              <w:bidi w:val="0"/>
              <w:spacing w:before="0" w:after="283"/>
              <w:jc w:val="left"/>
              <w:rPr/>
            </w:pPr>
            <w:r>
              <w:rPr/>
              <w:t> </w:t>
            </w:r>
          </w:p>
        </w:tc>
      </w:tr>
      <w:tr>
        <w:trPr/>
        <w:tc>
          <w:tcPr>
            <w:tcW w:w="7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debt</w:t>
            </w:r>
          </w:p>
        </w:tc>
        <w:tc>
          <w:tcPr>
            <w:tcW w:w="3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9,479</w:t>
            </w:r>
          </w:p>
        </w:tc>
        <w:tc>
          <w:tcPr>
            <w:tcW w:w="63"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9,479</w:t>
            </w:r>
          </w:p>
        </w:tc>
        <w:tc>
          <w:tcPr>
            <w:tcW w:w="356" w:type="dxa"/>
            <w:tcBorders/>
            <w:shd w:fill="CCEEFF" w:val="clear"/>
            <w:vAlign w:val="bottom"/>
          </w:tcPr>
          <w:p>
            <w:pPr>
              <w:pStyle w:val="TableContents"/>
              <w:bidi w:val="0"/>
              <w:spacing w:before="0" w:after="283"/>
              <w:jc w:val="left"/>
              <w:rPr/>
            </w:pPr>
            <w:r>
              <w:rPr/>
              <w:t> </w:t>
            </w:r>
          </w:p>
        </w:tc>
      </w:tr>
      <w:tr>
        <w:trPr/>
        <w:tc>
          <w:tcPr>
            <w:tcW w:w="7038" w:type="dxa"/>
            <w:tcBorders/>
          </w:tcPr>
          <w:p>
            <w:pPr>
              <w:pStyle w:val="TableContents"/>
              <w:bidi w:val="0"/>
              <w:spacing w:before="0" w:after="0"/>
              <w:jc w:val="left"/>
              <w:rPr>
                <w:rFonts w:ascii="Times New Roman" w:hAnsi="Times New Roman"/>
                <w:sz w:val="20"/>
              </w:rPr>
            </w:pPr>
            <w:r>
              <w:rPr>
                <w:rFonts w:ascii="Times New Roman" w:hAnsi="Times New Roman"/>
                <w:sz w:val="20"/>
              </w:rPr>
              <w:t>Notes offered hereby</w:t>
            </w:r>
          </w:p>
        </w:tc>
        <w:tc>
          <w:tcPr>
            <w:tcW w:w="3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1,490</w:t>
            </w:r>
          </w:p>
        </w:tc>
        <w:tc>
          <w:tcPr>
            <w:tcW w:w="356" w:type="dxa"/>
            <w:tcBorders/>
            <w:vAlign w:val="bottom"/>
          </w:tcPr>
          <w:p>
            <w:pPr>
              <w:pStyle w:val="TableContents"/>
              <w:bidi w:val="0"/>
              <w:spacing w:before="0" w:after="283"/>
              <w:jc w:val="left"/>
              <w:rPr/>
            </w:pPr>
            <w:r>
              <w:rPr/>
              <w:t>(3) </w:t>
            </w:r>
          </w:p>
        </w:tc>
      </w:tr>
      <w:tr>
        <w:trPr/>
        <w:tc>
          <w:tcPr>
            <w:tcW w:w="7038"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r>
      <w:tr>
        <w:trPr/>
        <w:tc>
          <w:tcPr>
            <w:tcW w:w="7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3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11,478</w:t>
            </w:r>
          </w:p>
        </w:tc>
        <w:tc>
          <w:tcPr>
            <w:tcW w:w="63"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11,178</w:t>
            </w:r>
          </w:p>
        </w:tc>
        <w:tc>
          <w:tcPr>
            <w:tcW w:w="356" w:type="dxa"/>
            <w:tcBorders/>
            <w:shd w:fill="CCEEFF" w:val="clear"/>
            <w:vAlign w:val="bottom"/>
          </w:tcPr>
          <w:p>
            <w:pPr>
              <w:pStyle w:val="TableContents"/>
              <w:bidi w:val="0"/>
              <w:spacing w:before="0" w:after="283"/>
              <w:jc w:val="left"/>
              <w:rPr/>
            </w:pPr>
            <w:r>
              <w:rPr/>
              <w:t> </w:t>
            </w:r>
          </w:p>
        </w:tc>
      </w:tr>
      <w:tr>
        <w:trPr/>
        <w:tc>
          <w:tcPr>
            <w:tcW w:w="703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9,569</w:t>
            </w:r>
          </w:p>
        </w:tc>
        <w:tc>
          <w:tcPr>
            <w:tcW w:w="6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9,569</w:t>
            </w:r>
          </w:p>
        </w:tc>
        <w:tc>
          <w:tcPr>
            <w:tcW w:w="356" w:type="dxa"/>
            <w:tcBorders/>
            <w:vAlign w:val="bottom"/>
          </w:tcPr>
          <w:p>
            <w:pPr>
              <w:pStyle w:val="TableContents"/>
              <w:bidi w:val="0"/>
              <w:spacing w:before="0" w:after="283"/>
              <w:jc w:val="left"/>
              <w:rPr/>
            </w:pPr>
            <w:r>
              <w:rPr/>
              <w:t> </w:t>
            </w:r>
          </w:p>
        </w:tc>
      </w:tr>
      <w:tr>
        <w:trPr/>
        <w:tc>
          <w:tcPr>
            <w:tcW w:w="7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21,047</w:t>
            </w:r>
          </w:p>
        </w:tc>
        <w:tc>
          <w:tcPr>
            <w:tcW w:w="63"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21,287</w:t>
            </w:r>
          </w:p>
        </w:tc>
        <w:tc>
          <w:tcPr>
            <w:tcW w:w="356" w:type="dxa"/>
            <w:tcBorders/>
            <w:shd w:fill="CCEEFF" w:val="clear"/>
            <w:vAlign w:val="bottom"/>
          </w:tcPr>
          <w:p>
            <w:pPr>
              <w:pStyle w:val="TableContents"/>
              <w:bidi w:val="0"/>
              <w:spacing w:before="0" w:after="283"/>
              <w:jc w:val="left"/>
              <w:rPr/>
            </w:pPr>
            <w:r>
              <w:rPr/>
              <w:t> </w:t>
            </w:r>
          </w:p>
        </w:tc>
      </w:tr>
      <w:tr>
        <w:trPr/>
        <w:tc>
          <w:tcPr>
            <w:tcW w:w="7038"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Our cash and cash equivalents on an as adjusted basis reflects the issuance of the Notes offered hereby, with net proceeds therefrom, after deducting the underwriting discounts and estimated offering expenses payable by us, of $1,490 million of cash and (i) the intended redemption of the aggregate principal amount of $500 million of the 5.350% 2026 Notes and $23 million of related accrued and unpaid interest and (ii) the intended redemption of the aggregate principal amount of $750 million of the 3.875% 2026 Notes and $24 million of related accrued and unpaid interest.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Short-term debt on an actual basis reflects the 5.350% 2026 Notes and 3.875% 2026 Notes to be redeemed with the net proceeds of the Notes offered hereby.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Notes offered hereby on an as adjusted basis reflects the book value, being the aggregate principal amount of $1,500 million of the Notes offered hereby, minus expected debt issuance cost of $8 million and $2 million of original issue discount.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94185_6"/>
      <w:bookmarkEnd w:id="8"/>
      <w:r>
        <w:rPr>
          <w:rFonts w:ascii="Times New Roman" w:hAnsi="Times New Roman"/>
          <w:b/>
          <w:sz w:val="20"/>
        </w:rPr>
        <w:t xml:space="preserve">DESCRIPTION OF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contains a summary of certain material provisions of the Revolving Credit Agreement, the Facility Agreements, the Commercial Paper Program and the Existing Notes. It does not purport to be complete and is subject to, and is qualified in its entirety by reference to, the underlying documents. Terms not otherwise defined in this section shall, unless the context otherwise requires, have the same meanings set out in the Revolving Credit Agreement, the Facility Agreements, the dealer agreement governing Commercial Paper Program or the indentures governing the Existing Notes,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Revolving Credit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Pursuant to the amended and restated revolving credit agreement, which was entered into on August 26, 2022 (the </w:t>
      </w:r>
      <w:r>
        <w:rPr>
          <w:rFonts w:ascii="Times New Roman" w:hAnsi="Times New Roman"/>
          <w:i/>
          <w:sz w:val="20"/>
        </w:rPr>
        <w:t>Revolving Credit Agreement</w:t>
      </w:r>
      <w:r>
        <w:rPr>
          <w:rFonts w:ascii="Times New Roman" w:hAnsi="Times New Roman"/>
          <w:sz w:val="20"/>
        </w:rPr>
        <w:t>), among the Company and NXP Funding, as borrowers, Barclays Bank PLC, as administrative agent (in such capacity, the </w:t>
      </w:r>
      <w:r>
        <w:rPr>
          <w:rFonts w:ascii="Times New Roman" w:hAnsi="Times New Roman"/>
          <w:i/>
          <w:sz w:val="20"/>
        </w:rPr>
        <w:t>Administrative Agent</w:t>
      </w:r>
      <w:r>
        <w:rPr>
          <w:rFonts w:ascii="Times New Roman" w:hAnsi="Times New Roman"/>
          <w:sz w:val="20"/>
        </w:rPr>
        <w:t>), the lenders and letter of credit issuers from time to time party thereto, and the other parties thereto, commitments to provide revolving loans (</w:t>
      </w:r>
      <w:r>
        <w:rPr>
          <w:rFonts w:ascii="Times New Roman" w:hAnsi="Times New Roman"/>
          <w:i/>
          <w:sz w:val="20"/>
        </w:rPr>
        <w:t>Revolving Loans</w:t>
      </w:r>
      <w:r>
        <w:rPr>
          <w:rFonts w:ascii="Times New Roman" w:hAnsi="Times New Roman"/>
          <w:sz w:val="20"/>
        </w:rPr>
        <w:t xml:space="preserve">) in an initial aggregate principal amount of up to $2.5 billion and a sub-facility providing up to $200 million in letters of credit were made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Repayment </w:t>
      </w:r>
    </w:p>
    <w:p>
      <w:pPr>
        <w:pStyle w:val="TextBody"/>
        <w:bidi w:val="0"/>
        <w:spacing w:before="120" w:after="0"/>
        <w:jc w:val="left"/>
        <w:rPr>
          <w:rFonts w:ascii="Times New Roman" w:hAnsi="Times New Roman"/>
          <w:sz w:val="20"/>
        </w:rPr>
      </w:pPr>
      <w:r>
        <w:rPr>
          <w:rFonts w:ascii="Times New Roman" w:hAnsi="Times New Roman"/>
          <w:sz w:val="20"/>
        </w:rPr>
        <w:t xml:space="preserve">The scheduled maturity date of the Revolving Credit Agreement is August 26, 2027 and any amounts then outstanding will be due and payable on that date. </w:t>
      </w:r>
    </w:p>
    <w:p>
      <w:pPr>
        <w:pStyle w:val="TextBody"/>
        <w:bidi w:val="0"/>
        <w:spacing w:before="240" w:after="0"/>
        <w:jc w:val="left"/>
        <w:rPr>
          <w:rFonts w:ascii="Times New Roman" w:hAnsi="Times New Roman"/>
          <w:sz w:val="20"/>
        </w:rPr>
      </w:pPr>
      <w:r>
        <w:rPr>
          <w:rFonts w:ascii="Times New Roman" w:hAnsi="Times New Roman"/>
          <w:sz w:val="20"/>
        </w:rPr>
        <w:t xml:space="preserve">The Revolving Loans may be prepaid at any time, in whole or in part, without premium or penalty, except that any prepayment of SOFR Loans or EURIBOR loans that is made other than at the end of the applicable interest periods shall be made with reimbursement for any losses, costs and expenses of the lenders resulting therefrom. Any amount repaid or prepaid, whether voluntarily or otherwise, may be re-borrowed, subject to certain conditions precedent to borrowing as specified in the Revolving Credit Agreement. The unutilized portion of any commitment under the Revolving Credit Agreement may be permanently reduced or terminated by the Company (on behalf of itself and the co-borrower) at any time without premium or penalty.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Rates </w:t>
      </w:r>
    </w:p>
    <w:p>
      <w:pPr>
        <w:pStyle w:val="TextBody"/>
        <w:bidi w:val="0"/>
        <w:spacing w:before="120" w:after="0"/>
        <w:jc w:val="left"/>
        <w:rPr>
          <w:rFonts w:ascii="Times New Roman" w:hAnsi="Times New Roman"/>
          <w:sz w:val="20"/>
        </w:rPr>
      </w:pPr>
      <w:r>
        <w:rPr>
          <w:rFonts w:ascii="Times New Roman" w:hAnsi="Times New Roman"/>
          <w:sz w:val="20"/>
        </w:rPr>
        <w:t xml:space="preserve">The Revolving Loans bear interest, at the Companys option, at a rate per annum equal to (a) in the case of term SOFR loans, the adjusted term SOFR plus the Applicable Term SOFR Margin (as set forth in the grid below), (b) in the case of EURIBOR loans, the aggregate of the adjusted EURIBO rate plus the Applicable EURIBOR Margin (as set forth in the grid below) and (c) in the case of ABR loans, the aggregate of the alternate base rate (defined as the highest of (x) the federal funds effective rate plus 1/2 of 1%, (y) the Administrative Agents prime rate at its principal office in New York City and (z) the adjusted term SOFR for a one month interest period plus 1%) plus the Applicable ABR Margin (as set forth in the grid below) (in each case, calculated on a 360-day or on a 365 or 366-day year,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margin means a percentage per annum to be determined in accordance with the following applicable rating grid.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6"/>
        <w:gridCol w:w="361"/>
        <w:gridCol w:w="3234"/>
        <w:gridCol w:w="361"/>
        <w:gridCol w:w="240"/>
        <w:gridCol w:w="2244"/>
        <w:gridCol w:w="60"/>
        <w:gridCol w:w="361"/>
        <w:gridCol w:w="204"/>
        <w:gridCol w:w="1508"/>
        <w:gridCol w:w="66"/>
      </w:tblGrid>
      <w:tr>
        <w:trPr/>
        <w:tc>
          <w:tcPr>
            <w:tcW w:w="1566"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56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32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Ratings (S&amp;P/Moodys/Fitch)</w:t>
            </w:r>
          </w:p>
        </w:tc>
        <w:tc>
          <w:tcPr>
            <w:tcW w:w="361" w:type="dxa"/>
            <w:tcBorders/>
            <w:vAlign w:val="bottom"/>
          </w:tcPr>
          <w:p>
            <w:pPr>
              <w:pStyle w:val="TableContents"/>
              <w:bidi w:val="0"/>
              <w:spacing w:before="0" w:after="283"/>
              <w:jc w:val="left"/>
              <w:rPr/>
            </w:pPr>
            <w:r>
              <w:rPr/>
              <w:t>  </w:t>
            </w:r>
          </w:p>
        </w:tc>
        <w:tc>
          <w:tcPr>
            <w:tcW w:w="2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Term SOFR</w:t>
              <w:br/>
              <w:t>Margin and Applicable</w:t>
              <w:br/>
              <w:t>EURIBOR Margin (bps</w:t>
              <w:br/>
              <w:t>per annum)</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ABR</w:t>
              <w:br/>
              <w:t>Margin (bps per</w:t>
              <w:br/>
              <w:t>annum)</w:t>
            </w:r>
          </w:p>
        </w:tc>
        <w:tc>
          <w:tcPr>
            <w:tcW w:w="66" w:type="dxa"/>
            <w:tcBorders/>
            <w:vAlign w:val="bottom"/>
          </w:tcPr>
          <w:p>
            <w:pPr>
              <w:pStyle w:val="TableContents"/>
              <w:bidi w:val="0"/>
              <w:spacing w:before="0" w:after="283"/>
              <w:jc w:val="left"/>
              <w:rPr/>
            </w:pPr>
            <w:r>
              <w:rPr/>
              <w:t> </w:t>
            </w:r>
          </w:p>
        </w:tc>
      </w:tr>
      <w:tr>
        <w:trPr/>
        <w:tc>
          <w:tcPr>
            <w:tcW w:w="1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Category 1</w:t>
            </w:r>
          </w:p>
        </w:tc>
        <w:tc>
          <w:tcPr>
            <w:tcW w:w="361" w:type="dxa"/>
            <w:tcBorders/>
            <w:shd w:fill="CCEEFF" w:val="clear"/>
            <w:vAlign w:val="bottom"/>
          </w:tcPr>
          <w:p>
            <w:pPr>
              <w:pStyle w:val="TableContents"/>
              <w:bidi w:val="0"/>
              <w:spacing w:before="0" w:after="283"/>
              <w:jc w:val="left"/>
              <w:rPr/>
            </w:pPr>
            <w:r>
              <w:rPr/>
              <w:t>  </w:t>
            </w:r>
          </w:p>
        </w:tc>
        <w:tc>
          <w:tcPr>
            <w:tcW w:w="3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A-/A3/A- or better</w:t>
            </w:r>
          </w:p>
        </w:tc>
        <w:tc>
          <w:tcPr>
            <w:tcW w:w="3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244" w:type="dxa"/>
            <w:tcBorders/>
            <w:shd w:fill="CCEEFF" w:val="clear"/>
            <w:vAlign w:val="bottom"/>
          </w:tcPr>
          <w:p>
            <w:pPr>
              <w:pStyle w:val="TableContents"/>
              <w:bidi w:val="0"/>
              <w:spacing w:before="0" w:after="283"/>
              <w:jc w:val="right"/>
              <w:rPr/>
            </w:pPr>
            <w:r>
              <w:rPr/>
              <w:t>87.5</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0.0</w:t>
            </w:r>
          </w:p>
        </w:tc>
        <w:tc>
          <w:tcPr>
            <w:tcW w:w="66" w:type="dxa"/>
            <w:tcBorders/>
            <w:shd w:fill="CCEEFF" w:val="clear"/>
            <w:vAlign w:val="bottom"/>
          </w:tcPr>
          <w:p>
            <w:pPr>
              <w:pStyle w:val="TableContents"/>
              <w:bidi w:val="0"/>
              <w:spacing w:before="0" w:after="283"/>
              <w:jc w:val="left"/>
              <w:rPr/>
            </w:pPr>
            <w:r>
              <w:rPr/>
              <w:t> </w:t>
            </w:r>
          </w:p>
        </w:tc>
      </w:tr>
      <w:tr>
        <w:trPr/>
        <w:tc>
          <w:tcPr>
            <w:tcW w:w="1566" w:type="dxa"/>
            <w:tcBorders/>
          </w:tcPr>
          <w:p>
            <w:pPr>
              <w:pStyle w:val="TableContents"/>
              <w:bidi w:val="0"/>
              <w:spacing w:before="0" w:after="0"/>
              <w:jc w:val="left"/>
              <w:rPr>
                <w:rFonts w:ascii="Times New Roman" w:hAnsi="Times New Roman"/>
                <w:sz w:val="20"/>
              </w:rPr>
            </w:pPr>
            <w:r>
              <w:rPr>
                <w:rFonts w:ascii="Times New Roman" w:hAnsi="Times New Roman"/>
                <w:sz w:val="20"/>
              </w:rPr>
              <w:t>Category 2</w:t>
            </w:r>
          </w:p>
        </w:tc>
        <w:tc>
          <w:tcPr>
            <w:tcW w:w="361"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BBB+/Baa1/BBB+</w:t>
            </w:r>
          </w:p>
        </w:tc>
        <w:tc>
          <w:tcPr>
            <w:tcW w:w="3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24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0.0</w:t>
            </w:r>
          </w:p>
        </w:tc>
        <w:tc>
          <w:tcPr>
            <w:tcW w:w="66" w:type="dxa"/>
            <w:tcBorders/>
            <w:vAlign w:val="bottom"/>
          </w:tcPr>
          <w:p>
            <w:pPr>
              <w:pStyle w:val="TableContents"/>
              <w:bidi w:val="0"/>
              <w:spacing w:before="0" w:after="283"/>
              <w:jc w:val="left"/>
              <w:rPr/>
            </w:pPr>
            <w:r>
              <w:rPr/>
              <w:t> </w:t>
            </w:r>
          </w:p>
        </w:tc>
      </w:tr>
      <w:tr>
        <w:trPr/>
        <w:tc>
          <w:tcPr>
            <w:tcW w:w="1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Category 3</w:t>
            </w:r>
          </w:p>
        </w:tc>
        <w:tc>
          <w:tcPr>
            <w:tcW w:w="361" w:type="dxa"/>
            <w:tcBorders/>
            <w:shd w:fill="CCEEFF" w:val="clear"/>
            <w:vAlign w:val="bottom"/>
          </w:tcPr>
          <w:p>
            <w:pPr>
              <w:pStyle w:val="TableContents"/>
              <w:bidi w:val="0"/>
              <w:spacing w:before="0" w:after="283"/>
              <w:jc w:val="left"/>
              <w:rPr/>
            </w:pPr>
            <w:r>
              <w:rPr/>
              <w:t>  </w:t>
            </w:r>
          </w:p>
        </w:tc>
        <w:tc>
          <w:tcPr>
            <w:tcW w:w="3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BBB/Baa2/BBB</w:t>
            </w:r>
          </w:p>
        </w:tc>
        <w:tc>
          <w:tcPr>
            <w:tcW w:w="3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244" w:type="dxa"/>
            <w:tcBorders/>
            <w:shd w:fill="CCEEFF" w:val="clear"/>
            <w:vAlign w:val="bottom"/>
          </w:tcPr>
          <w:p>
            <w:pPr>
              <w:pStyle w:val="TableContents"/>
              <w:bidi w:val="0"/>
              <w:spacing w:before="0" w:after="283"/>
              <w:jc w:val="right"/>
              <w:rPr/>
            </w:pPr>
            <w:r>
              <w:rPr/>
              <w:t>112.5</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12.5</w:t>
            </w:r>
          </w:p>
        </w:tc>
        <w:tc>
          <w:tcPr>
            <w:tcW w:w="66" w:type="dxa"/>
            <w:tcBorders/>
            <w:shd w:fill="CCEEFF" w:val="clear"/>
            <w:vAlign w:val="bottom"/>
          </w:tcPr>
          <w:p>
            <w:pPr>
              <w:pStyle w:val="TableContents"/>
              <w:bidi w:val="0"/>
              <w:spacing w:before="0" w:after="283"/>
              <w:jc w:val="left"/>
              <w:rPr/>
            </w:pPr>
            <w:r>
              <w:rPr/>
              <w:t> </w:t>
            </w:r>
          </w:p>
        </w:tc>
      </w:tr>
      <w:tr>
        <w:trPr/>
        <w:tc>
          <w:tcPr>
            <w:tcW w:w="1566" w:type="dxa"/>
            <w:tcBorders/>
          </w:tcPr>
          <w:p>
            <w:pPr>
              <w:pStyle w:val="TableContents"/>
              <w:bidi w:val="0"/>
              <w:spacing w:before="0" w:after="0"/>
              <w:jc w:val="left"/>
              <w:rPr>
                <w:rFonts w:ascii="Times New Roman" w:hAnsi="Times New Roman"/>
                <w:sz w:val="20"/>
              </w:rPr>
            </w:pPr>
            <w:r>
              <w:rPr>
                <w:rFonts w:ascii="Times New Roman" w:hAnsi="Times New Roman"/>
                <w:sz w:val="20"/>
              </w:rPr>
              <w:t>Category 4</w:t>
            </w:r>
          </w:p>
        </w:tc>
        <w:tc>
          <w:tcPr>
            <w:tcW w:w="361"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BBB-/Baa3/BBB-</w:t>
            </w:r>
          </w:p>
        </w:tc>
        <w:tc>
          <w:tcPr>
            <w:tcW w:w="3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244" w:type="dxa"/>
            <w:tcBorders/>
            <w:vAlign w:val="bottom"/>
          </w:tcPr>
          <w:p>
            <w:pPr>
              <w:pStyle w:val="TableContents"/>
              <w:bidi w:val="0"/>
              <w:spacing w:before="0" w:after="283"/>
              <w:jc w:val="right"/>
              <w:rPr/>
            </w:pPr>
            <w:r>
              <w:rPr/>
              <w:t>125.0</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before="0" w:after="283"/>
              <w:jc w:val="right"/>
              <w:rPr/>
            </w:pPr>
            <w:r>
              <w:rPr/>
              <w:t>25.0</w:t>
            </w:r>
          </w:p>
        </w:tc>
        <w:tc>
          <w:tcPr>
            <w:tcW w:w="66" w:type="dxa"/>
            <w:tcBorders/>
            <w:vAlign w:val="bottom"/>
          </w:tcPr>
          <w:p>
            <w:pPr>
              <w:pStyle w:val="TableContents"/>
              <w:bidi w:val="0"/>
              <w:spacing w:before="0" w:after="283"/>
              <w:jc w:val="left"/>
              <w:rPr/>
            </w:pPr>
            <w:r>
              <w:rPr/>
              <w:t> </w:t>
            </w:r>
          </w:p>
        </w:tc>
      </w:tr>
      <w:tr>
        <w:trPr/>
        <w:tc>
          <w:tcPr>
            <w:tcW w:w="1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Category 5</w:t>
            </w:r>
          </w:p>
        </w:tc>
        <w:tc>
          <w:tcPr>
            <w:tcW w:w="361" w:type="dxa"/>
            <w:tcBorders/>
            <w:shd w:fill="CCEEFF" w:val="clear"/>
            <w:vAlign w:val="bottom"/>
          </w:tcPr>
          <w:p>
            <w:pPr>
              <w:pStyle w:val="TableContents"/>
              <w:bidi w:val="0"/>
              <w:spacing w:before="0" w:after="283"/>
              <w:jc w:val="left"/>
              <w:rPr/>
            </w:pPr>
            <w:r>
              <w:rPr/>
              <w:t>  </w:t>
            </w:r>
          </w:p>
        </w:tc>
        <w:tc>
          <w:tcPr>
            <w:tcW w:w="3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BB+/Ba1/BB+ or lower</w:t>
            </w:r>
          </w:p>
        </w:tc>
        <w:tc>
          <w:tcPr>
            <w:tcW w:w="3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244"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before="0" w:after="283"/>
              <w:jc w:val="right"/>
              <w:rPr/>
            </w:pPr>
            <w:r>
              <w:rPr/>
              <w:t>50.0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the foregoing, the Company may select interest periods of one, three or six months or such shorter period as the borrowers may elect in the applicable notice. Interest is payable (i) in respect of each ABR loan, quarterly in arrears, (ii) in respect of each term SOFR loan and EURIBOR loan, on the last day of each interest period applicable thereto and, in the case of an interest period in excess of three months, on each date occurring at three-month intervals after the first day of such interest period and (iii) in respect of each loan on any prepayment, at maturity and after such maturity, on demand. The applicable margin on all overdue amounts owing under the loan documentation will increase by 2% per annum.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Guaranty for the Revolving Credit Agreement </w:t>
      </w:r>
    </w:p>
    <w:p>
      <w:pPr>
        <w:pStyle w:val="TextBody"/>
        <w:bidi w:val="0"/>
        <w:spacing w:before="120" w:after="0"/>
        <w:jc w:val="left"/>
        <w:rPr>
          <w:rFonts w:ascii="Times New Roman" w:hAnsi="Times New Roman"/>
          <w:sz w:val="20"/>
        </w:rPr>
      </w:pPr>
      <w:r>
        <w:rPr>
          <w:rFonts w:ascii="Times New Roman" w:hAnsi="Times New Roman"/>
          <w:sz w:val="20"/>
        </w:rPr>
        <w:t>The obligations of the Company and NXP Funding under the Revolving Credit Agreement are unconditionally and irrevocably guaranteed, jointly and severally, on a senior unsecured basis by the Parent, NXP USA and each other subsidiary of the Company that becomes party to the guaranty (together, the </w:t>
      </w:r>
      <w:r>
        <w:rPr>
          <w:rFonts w:ascii="Times New Roman" w:hAnsi="Times New Roman"/>
          <w:i/>
          <w:sz w:val="20"/>
        </w:rPr>
        <w:t>RCF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we cannot make payments on the Revolving Credit Agreement when they are due, the RCF Guarantors must make them instead. The laws of certain jurisdictions limit the enforceability or require the limitation of certain guarantees.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Facility A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Pursuant to the facility agreement, which was entered into on November 22, 2024 (the </w:t>
      </w:r>
      <w:r>
        <w:rPr>
          <w:rFonts w:ascii="Times New Roman" w:hAnsi="Times New Roman"/>
          <w:i/>
          <w:sz w:val="20"/>
        </w:rPr>
        <w:t>Facility A Agreement</w:t>
      </w:r>
      <w:r>
        <w:rPr>
          <w:rFonts w:ascii="Times New Roman" w:hAnsi="Times New Roman"/>
          <w:sz w:val="20"/>
        </w:rPr>
        <w:t>), among the Company, as borrower, and European Investment Bank ( </w:t>
      </w:r>
      <w:r>
        <w:rPr>
          <w:rFonts w:ascii="Times New Roman" w:hAnsi="Times New Roman"/>
          <w:i/>
          <w:sz w:val="20"/>
        </w:rPr>
        <w:t>Bank</w:t>
      </w:r>
      <w:r>
        <w:rPr>
          <w:rFonts w:ascii="Times New Roman" w:hAnsi="Times New Roman"/>
          <w:sz w:val="20"/>
        </w:rPr>
        <w:t>), loans in an aggregate principal amount of 640 million (</w:t>
      </w:r>
      <w:r>
        <w:rPr>
          <w:rFonts w:ascii="Times New Roman" w:hAnsi="Times New Roman"/>
          <w:i/>
          <w:sz w:val="20"/>
        </w:rPr>
        <w:t>Facility A Loans</w:t>
      </w:r>
      <w:r>
        <w:rPr>
          <w:rFonts w:ascii="Times New Roman" w:hAnsi="Times New Roman"/>
          <w:sz w:val="20"/>
        </w:rPr>
        <w:t xml:space="preserve">) were made available to us, which may be U.S. Dollar or Euro dominated at the option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Repayment </w:t>
      </w:r>
    </w:p>
    <w:p>
      <w:pPr>
        <w:pStyle w:val="TextBody"/>
        <w:bidi w:val="0"/>
        <w:spacing w:before="120" w:after="0"/>
        <w:jc w:val="left"/>
        <w:rPr>
          <w:rFonts w:ascii="Times New Roman" w:hAnsi="Times New Roman"/>
          <w:sz w:val="20"/>
        </w:rPr>
      </w:pPr>
      <w:r>
        <w:rPr>
          <w:rFonts w:ascii="Times New Roman" w:hAnsi="Times New Roman"/>
          <w:sz w:val="20"/>
        </w:rPr>
        <w:t xml:space="preserve">The Facility A Loans shall be repaid in a single payment on the date that is specified in the utilization offer, and shall have a maximum tenor of up to December 8, 2030. </w:t>
      </w:r>
    </w:p>
    <w:p>
      <w:pPr>
        <w:pStyle w:val="TextBody"/>
        <w:bidi w:val="0"/>
        <w:spacing w:before="240" w:after="0"/>
        <w:jc w:val="left"/>
        <w:rPr>
          <w:rFonts w:ascii="Times New Roman" w:hAnsi="Times New Roman"/>
          <w:sz w:val="20"/>
        </w:rPr>
      </w:pPr>
      <w:r>
        <w:rPr>
          <w:rFonts w:ascii="Times New Roman" w:hAnsi="Times New Roman"/>
          <w:sz w:val="20"/>
        </w:rPr>
        <w:t xml:space="preserve">The Facility A Loans may be prepaid at any time, in whole or in part, without premium or penalty, upon 60 days prior notice to Bank. If a prepayment request is delivered to Bank with 30 or less days of prior notice, the Company shall pay to Bank a fee in consideration of the administrative costs incurred by Bank. The Company may cancel at any time, in whole or in part, the available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Rates </w:t>
      </w:r>
    </w:p>
    <w:p>
      <w:pPr>
        <w:pStyle w:val="TextBody"/>
        <w:bidi w:val="0"/>
        <w:spacing w:before="120" w:after="0"/>
        <w:jc w:val="left"/>
        <w:rPr>
          <w:rFonts w:ascii="Times New Roman" w:hAnsi="Times New Roman"/>
          <w:sz w:val="20"/>
        </w:rPr>
      </w:pPr>
      <w:r>
        <w:rPr>
          <w:rFonts w:ascii="Times New Roman" w:hAnsi="Times New Roman"/>
          <w:sz w:val="20"/>
        </w:rPr>
        <w:t xml:space="preserve">As of June 29, 2025, there is $670 million principal amount of Facility A Loans outstanding, which bear a fixed interest rate of 4.45%. Interest shall accrue on any overdue amounts owing under the Facility A Agreement at a rate equal to the fixed or floating interest rate, as applicable, plus 2% per annum.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Guaranty for the Facility A Agreement </w:t>
      </w:r>
    </w:p>
    <w:p>
      <w:pPr>
        <w:pStyle w:val="TextBody"/>
        <w:bidi w:val="0"/>
        <w:spacing w:before="120" w:after="0"/>
        <w:jc w:val="left"/>
        <w:rPr>
          <w:rFonts w:ascii="Times New Roman" w:hAnsi="Times New Roman"/>
          <w:sz w:val="20"/>
        </w:rPr>
      </w:pPr>
      <w:r>
        <w:rPr>
          <w:rFonts w:ascii="Times New Roman" w:hAnsi="Times New Roman"/>
          <w:sz w:val="20"/>
        </w:rPr>
        <w:t>The obligations of the Company under the Facility A Agreement are unconditionally and irrevocably guaranteed, jointly and severally, on a senior unsecured basis by the Parent, NXP Funding, NXP USA and each other subsidiary of the Company that becomes party to the guaranty (collectively, the </w:t>
      </w:r>
      <w:r>
        <w:rPr>
          <w:rFonts w:ascii="Times New Roman" w:hAnsi="Times New Roman"/>
          <w:i/>
          <w:sz w:val="20"/>
        </w:rPr>
        <w:t>Facility A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we cannot make payments on the Facility A Agreement when they are due, the Facility A Guarantors must make them instead. The laws of certain jurisdictions limit the enforceability or require the limitation of certain guarantees.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Covenants &amp;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Facility A Agreement contains affirmative and negative covenants and events of default that are generally consistent with those set forth in the Revolving Credit Agreement, including the financial covenant. The occurrence of an event of default under the Facility A Agreement allows Bank to cancel the available facility and declare all amounts outstanding under the Facility A Agreement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Facility B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Pursuant to the facility agreement, which was entered into on January 13, 2025 (the </w:t>
      </w:r>
      <w:r>
        <w:rPr>
          <w:rFonts w:ascii="Times New Roman" w:hAnsi="Times New Roman"/>
          <w:i/>
          <w:sz w:val="20"/>
        </w:rPr>
        <w:t>Facility B Agreement</w:t>
      </w:r>
      <w:r>
        <w:rPr>
          <w:rFonts w:ascii="Times New Roman" w:hAnsi="Times New Roman"/>
          <w:sz w:val="20"/>
        </w:rPr>
        <w:t> and, together with the Facility A Agreement (the </w:t>
      </w:r>
      <w:r>
        <w:rPr>
          <w:rFonts w:ascii="Times New Roman" w:hAnsi="Times New Roman"/>
          <w:i/>
          <w:sz w:val="20"/>
        </w:rPr>
        <w:t>Facility Agreements</w:t>
      </w:r>
      <w:r>
        <w:rPr>
          <w:rFonts w:ascii="Times New Roman" w:hAnsi="Times New Roman"/>
          <w:sz w:val="20"/>
        </w:rPr>
        <w:t>), among the Company, as borrower, and Bank, loans in an aggregate principal amount of 360 million (</w:t>
      </w:r>
      <w:r>
        <w:rPr>
          <w:rFonts w:ascii="Times New Roman" w:hAnsi="Times New Roman"/>
          <w:i/>
          <w:sz w:val="20"/>
        </w:rPr>
        <w:t>Facility B Loans</w:t>
      </w:r>
      <w:r>
        <w:rPr>
          <w:rFonts w:ascii="Times New Roman" w:hAnsi="Times New Roman"/>
          <w:sz w:val="20"/>
        </w:rPr>
        <w:t xml:space="preserve">) were made available to us, which may be U.S. Dollar or Euro dominated at the option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Repayment </w:t>
      </w:r>
    </w:p>
    <w:p>
      <w:pPr>
        <w:pStyle w:val="TextBody"/>
        <w:bidi w:val="0"/>
        <w:spacing w:before="120" w:after="0"/>
        <w:jc w:val="left"/>
        <w:rPr>
          <w:rFonts w:ascii="Times New Roman" w:hAnsi="Times New Roman"/>
          <w:sz w:val="20"/>
        </w:rPr>
      </w:pPr>
      <w:r>
        <w:rPr>
          <w:rFonts w:ascii="Times New Roman" w:hAnsi="Times New Roman"/>
          <w:sz w:val="20"/>
        </w:rPr>
        <w:t xml:space="preserve">The Facility B Loans shall be repaid in a single payment on the date that is specified in the utilization offer, and shall have a maximum tenor of up to February 24, 2031. </w:t>
      </w:r>
    </w:p>
    <w:p>
      <w:pPr>
        <w:pStyle w:val="TextBody"/>
        <w:bidi w:val="0"/>
        <w:spacing w:before="240" w:after="0"/>
        <w:jc w:val="left"/>
        <w:rPr>
          <w:rFonts w:ascii="Times New Roman" w:hAnsi="Times New Roman"/>
          <w:sz w:val="20"/>
        </w:rPr>
      </w:pPr>
      <w:r>
        <w:rPr>
          <w:rFonts w:ascii="Times New Roman" w:hAnsi="Times New Roman"/>
          <w:sz w:val="20"/>
        </w:rPr>
        <w:t xml:space="preserve">The Facility B Loans may be prepaid at any time, in whole or in part, without premium or penalty, upon 60 days prior notice to Bank. If a prepayment request is delivered to Bank with 30 or less days of prior notice, the Company shall pay to Bank a fee in consideration of the administrative costs incurred by Bank. The Company may cancel at any time, in whole or in part, the available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Rates </w:t>
      </w:r>
    </w:p>
    <w:p>
      <w:pPr>
        <w:pStyle w:val="TextBody"/>
        <w:bidi w:val="0"/>
        <w:spacing w:before="120" w:after="0"/>
        <w:jc w:val="left"/>
        <w:rPr>
          <w:rFonts w:ascii="Times New Roman" w:hAnsi="Times New Roman"/>
          <w:sz w:val="20"/>
        </w:rPr>
      </w:pPr>
      <w:r>
        <w:rPr>
          <w:rFonts w:ascii="Times New Roman" w:hAnsi="Times New Roman"/>
          <w:sz w:val="20"/>
        </w:rPr>
        <w:t xml:space="preserve">As of June 29, 2025, there is $370 million principal amount of Facility B Loans outstanding, which bear a fixed interest rate of 4.709%. Interest shall accrue on any overdue amounts owing under the Facility B Agreement at a rate equal to the fixed or floating interest rate, as applicable, plus 2% per annum.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Guaranty for the Facility Agreement </w:t>
      </w:r>
    </w:p>
    <w:p>
      <w:pPr>
        <w:pStyle w:val="TextBody"/>
        <w:bidi w:val="0"/>
        <w:spacing w:before="120" w:after="0"/>
        <w:jc w:val="left"/>
        <w:rPr>
          <w:rFonts w:ascii="Times New Roman" w:hAnsi="Times New Roman"/>
          <w:sz w:val="20"/>
        </w:rPr>
      </w:pPr>
      <w:r>
        <w:rPr>
          <w:rFonts w:ascii="Times New Roman" w:hAnsi="Times New Roman"/>
          <w:sz w:val="20"/>
        </w:rPr>
        <w:t>The obligations of the Company under the Facility B Agreement are unconditionally and irrevocably guaranteed, jointly and severally, on a senior unsecured basis by the Parent, NXP Funding, NXP USA and each other subsidiary of the Company that becomes party to the guaranty (collectively, the </w:t>
      </w:r>
      <w:r>
        <w:rPr>
          <w:rFonts w:ascii="Times New Roman" w:hAnsi="Times New Roman"/>
          <w:i/>
          <w:sz w:val="20"/>
        </w:rPr>
        <w:t>Facility B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we cannot make payments on the Facility B Agreement when they are due, the Facility B Guarantors must make them instead. The laws of certain jurisdictions limit the enforceability or require the limitation of certain guarantees.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&amp;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Facility B Agreement contains affirmative and negative covenants and events of default that are generally consistent with those set forth in the Revolving Credit Agreement, including the financial covenant. The occurrence of an event of default under the Facility B Agreement allows Bank to cancel the available facility and declare all amounts outstanding under the Facility B Agreement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Paper Program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On November 21, 2024, the Company, NXP Funding and NXP USA entered into definitive documentation to establish an unsecured commercial paper program (the </w:t>
      </w:r>
      <w:r>
        <w:rPr>
          <w:rFonts w:ascii="Times New Roman" w:hAnsi="Times New Roman"/>
          <w:i/>
          <w:sz w:val="20"/>
        </w:rPr>
        <w:t>Commercial Paper Program</w:t>
      </w:r>
      <w:r>
        <w:rPr>
          <w:rFonts w:ascii="Times New Roman" w:hAnsi="Times New Roman"/>
          <w:sz w:val="20"/>
        </w:rPr>
        <w:t xml:space="preserve">) under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NXP Funding and NXP USA may, on a joint and several basis, issue short-term, unsecured commercial paper notes pursuant to an exemption from the registration requirements of the U.S. Securities Act. Amounts available under the Commercial Paper Program may be borrowed, repaid, and re-borrowed from time to time, with the aggregate principal amount of commercial paper notes outstanding under the Commercial Paper Program at any time not to exceed $2,000 million. As of June 29, 2025, Company, NXP Funding and NXP USA had $750 million commercial paper notes outstanding with a duration of up to 98 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Prepayments </w:t>
      </w:r>
    </w:p>
    <w:p>
      <w:pPr>
        <w:pStyle w:val="TextBody"/>
        <w:bidi w:val="0"/>
        <w:spacing w:before="120" w:after="0"/>
        <w:jc w:val="left"/>
        <w:rPr>
          <w:rFonts w:ascii="Times New Roman" w:hAnsi="Times New Roman"/>
          <w:sz w:val="20"/>
        </w:rPr>
      </w:pPr>
      <w:r>
        <w:rPr>
          <w:rFonts w:ascii="Times New Roman" w:hAnsi="Times New Roman"/>
          <w:sz w:val="20"/>
        </w:rPr>
        <w:t xml:space="preserve">The maturities of the commercial paper notes issued under the Commercial Paper Program may vary, but shall not exceed 397 days from the date of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commercial paper notes issued under the Commercial Paper Program will be sold under customary market terms in the U.S. commercial paper market at a discount from par or at par and bear interest at rates determined at the time of issuance. As of June 29, 2025, the weighted-average interest rate of the commercial paper notes outstanding under the Commercial Paper Program was 4.67%.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Guarantee </w:t>
      </w:r>
    </w:p>
    <w:p>
      <w:pPr>
        <w:pStyle w:val="TextBody"/>
        <w:bidi w:val="0"/>
        <w:spacing w:before="120" w:after="0"/>
        <w:jc w:val="left"/>
        <w:rPr>
          <w:rFonts w:ascii="Times New Roman" w:hAnsi="Times New Roman"/>
          <w:sz w:val="20"/>
        </w:rPr>
      </w:pPr>
      <w:r>
        <w:rPr>
          <w:rFonts w:ascii="Times New Roman" w:hAnsi="Times New Roman"/>
          <w:sz w:val="20"/>
        </w:rPr>
        <w:t xml:space="preserve">The commercial paper notes issued under the Commercial Paper Program are fully and unconditionally guaranteed on a senior unsecured basis by the Parent. If the Company, NXP Funding and NXP USA cannot make payments on the commercial paper notes issued under the Commercial Paper Program when due, the Parent must make them instead.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documents governing the Commercial Paper Program contain certain customary events of default. </w:t>
      </w:r>
    </w:p>
    <w:p>
      <w:pPr>
        <w:pStyle w:val="TextBody"/>
        <w:bidi w:val="0"/>
        <w:spacing w:before="240" w:after="0"/>
        <w:jc w:val="left"/>
        <w:rPr>
          <w:rFonts w:ascii="Times New Roman" w:hAnsi="Times New Roman"/>
          <w:b/>
          <w:sz w:val="20"/>
        </w:rPr>
      </w:pPr>
      <w:r>
        <w:rPr>
          <w:rFonts w:ascii="Times New Roman" w:hAnsi="Times New Roman"/>
          <w:b/>
          <w:sz w:val="20"/>
        </w:rPr>
        <w:t xml:space="preserve">5.350% 2026 Notes; 3.875% 2026 Notes; 3.150% 2027 Notes; 4.400% 2027 Notes; 5.550% 2028 Notes; 4.300% 2029 Notes; 3.400% 2030 Notes; 2.500% 2031 Notes; 2.650% 2032 Notes; 5.000% 2033 Notes; 3.250% 2041 Notes; 3.125% 2042 Notes; and 3.250% 2051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December 6, 2018, the Company and NXP Funding issued $500 million aggregate principal amount of 5.350% 2026 Notes and $500 million aggregate principal amount of 5.550% 2028 Notes. On May 16, 2022, substantially all of the 5.350% 2026 Notes and the 5.550% 2028 Notes were exchanged for new issuances of substantially identical registered debt securities under the U.S. Securities Act. The 5.350% 2026 Notes are intended to be redeemed in full with the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On June 18, 2019, the Company, NXP Funding and NXP USA issued $750 million aggregate principal amount of 3.875% 2026 Notes and $1,000 million aggregate principal amount of 4.300% 2029 Notes. On May 16, 2022, substantially all of the 3.875% 2026 Notes and the 4.300% 2029 Notes were exchanged for new issuances of substantially identical registered debt securities under the U.S. Securities Act. The 3.875% 2026 Notes are intended to be redeemed in full with the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On May 1, 2020, the Company, NXP Funding and NXP USA issued $500 million aggregate principal amount of 3.150% 2027 Notes and $1,000 million aggregate principal amount of 3.400% 2030 Notes. The 3.400% 2030 Notes were designated as green bonds, the proceeds of which were used to fund eligible green projects. On May 16, 2022, substantially all of the 3.150% 2027 Notes and the 3.400% 2030 Notes were exchanged for new issuances of substantially identical registered debt securities under the U.S.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May 11, 2021, the Company, NXP Funding and NXP USA issued $1,000 million aggregate principal amount of 2.500% 2031 Notes and $1,000 million aggregate principal amount of 3.250% 2041 Notes. The 2.500% 2031 Notes were designated as green bonds, the proceeds of which were used to fund eligible green projects. On May 16, 2022, substantially all of the 2.500% 2031 Notes and the 3.250% 2041 Notes were exchanged for new issuances of substantially identical registered debt securities under the U.S.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2021, the Company, NXP Funding and NXP USA issued $1,000 million aggregate principal amount of 2.650% 2032 Notes, $500 million aggregate principal amount of 3.125% 2042 Notes and $500 million aggregate principal amount of 3.250% 2051 Notes. On May 16, 2022, substantially all of the 2.650% 2032 Notes, 3.125% 2042 Notes and the 3.250% 2051 Notes were exchanged for new issuances of substantially identical registered debt securities under the U.S.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16, 2022, the Company, NXP Funding and NXP USA issued $500 million aggregate principal amount of the 4.400% 2027 Notes and $1,000 million aggregate principal amount of the 5.000% 2033 Notes. The 5.000% 2033 Notes were designated as green bonds, the proceeds of which were used to fund eligible green projects. The 4.400% 2027 Notes and the 5.000% 2033 Notes are registered under the U.S.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5.350% 2026 Notes accrue interest at a rate of 5.350% per annum and mature on March 1, 2026. Interest on the 5.350% 2026 Notes is payable semi-annually on March 1 and September 1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3.875% 2026 Notes accrue interest at a rate of 3.875% per annum and mature on June 18, 2026. Interest on the 3.875% 2026 Notes is payable semi-annually on June 18 and December 18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3.150% 2027 Notes accrue interest at a rate of 3.150% per annum and mature on May 1, 2027. Interest on the 3.150% 2027 Notes is payable semi-annually on May 1 and November 1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4.400% 2027 Notes accrue interest at a rate of 4.400% per annum and mature on January 1, 2027. Interest on the 4.400% 2027 Notes is payable semi-annually on June 1 and December 1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5.550% 2028 Notes accrue interest at a rate of 5.550% per annum and mature on December 1, 2028. Interest on the 5.550% 2028 Notes is payable semi-annually on June 1 and December 1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4.300% 2029 Notes accrue interest at a rate of 4.300% per annum and mature on June 18, 2029. Interest on the 4.300% 2029 Notes is payable semi-annually on June 18 and December 18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3.400% 2030 Notes accrue interest at a rate of 3.400% per annum and mature on May 1, 2030. Interest on the 3.400% 2030 Notes is payable semi-annually on May 1 and November 1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2.500% 2031 Notes accrue interest at a rate of 2.500% per annum and mature on May 11, 2031. Interest on the 2.500% 2031 Notes is payable semi-annually on May 11 and November 11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2.650% 2032 Notes accrue interest at a rate of 2.650% per annum and mature on February 15, 2032. Interest on the 2.650% 2032 Notes is payable semi-annually on February 15 and August 15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5.000% 2033 Notes accrue interest at a rate of 5.000% per annum and mature on January 15, 2033. Interest on the 5.000% 2033 Notes is payable semi-annually on January 15 and July 15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3.250% 2041 Notes accrue interest at a rate of 3.250% per annum and mature on May 11, 2041. Interest on the 3.250% 2041 Notes is payable semi-annually on May 11 and November 11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3.125% 2042 Notes accrue interest at a rate of 3.125% per annum and mature on February 15, 2042. Interest on the 3.125% 2042 Notes is payable semi-annually on February 15 and August 15 of each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3.250% 2051 Notes accrue interest at a rate of 3.250% per annum and mature on May 30, 2051. Interest on the 3.250% 2051 Notes is payable semi-annually on May 30 and November 30 of each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Prepayments and Redemptions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NXP Funding may redeem all or part of the 5.350% 2026 Notes and the 5.550% 2028 Notes. The Company, NXP Funding and NXP USA may redeem all or part of the 3.875% 2026 Notes, the 3.150% 2027 Notes, 4.400% 2027 Notes, the 4.300% 2029 Notes, the 3.400% 2030 Notes, the 2.500% 2031 Notes, the 2.650% 2032 Notes, 5.000% 2033 Notes, the 3.250% 2041 Notes, the 3.125% 2042 Notes and the 3.250% 2051 Notes at a price equal to 100% of the principal amount of such notes redeemed plus accrued and unpaid interest to the redemption date and a make-whole premium. </w:t>
      </w:r>
    </w:p>
    <w:p>
      <w:pPr>
        <w:pStyle w:val="TextBody"/>
        <w:bidi w:val="0"/>
        <w:spacing w:before="240" w:after="0"/>
        <w:jc w:val="left"/>
        <w:rPr>
          <w:rFonts w:ascii="Times New Roman" w:hAnsi="Times New Roman"/>
          <w:sz w:val="20"/>
        </w:rPr>
      </w:pPr>
      <w:r>
        <w:rPr>
          <w:rFonts w:ascii="Times New Roman" w:hAnsi="Times New Roman"/>
          <w:sz w:val="20"/>
        </w:rPr>
        <w:t xml:space="preserve">The Company, NXP Funding and NXP USA (and in the case of the December 2018 Notes, the Company and NXP Funding) may also redeem all such notes in whole, but not in part, at any time, upon giving proper notice, if changes in tax laws impose certain withholding taxes on amounts payable thereunder. If the Company, NXP Funding and NXP USA (and in the case of the December 2018 Notes, the Company and NXP Funding) decide to do this, they must pay holders of such notes a price equal to the principal amount of the notes redeemed plus interest and certain other amounts. </w:t>
      </w:r>
    </w:p>
    <w:p>
      <w:pPr>
        <w:pStyle w:val="TextBody"/>
        <w:bidi w:val="0"/>
        <w:spacing w:before="240" w:after="0"/>
        <w:jc w:val="left"/>
        <w:rPr>
          <w:rFonts w:ascii="Times New Roman" w:hAnsi="Times New Roman"/>
          <w:sz w:val="20"/>
        </w:rPr>
      </w:pPr>
      <w:r>
        <w:rPr>
          <w:rFonts w:ascii="Times New Roman" w:hAnsi="Times New Roman"/>
          <w:sz w:val="20"/>
        </w:rPr>
        <w:t xml:space="preserve">In certain change of control transactions, the Company, NXP Funding and NXP USA (and in the case of the December 2018 Notes, the Company and NXP Funding) may be required to offer to repurchase all such notes at 101% of their principal amount plus accrued and unpaid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Guarantee </w:t>
      </w:r>
    </w:p>
    <w:p>
      <w:pPr>
        <w:pStyle w:val="TextBody"/>
        <w:bidi w:val="0"/>
        <w:spacing w:before="120" w:after="0"/>
        <w:jc w:val="left"/>
        <w:rPr>
          <w:rFonts w:ascii="Times New Roman" w:hAnsi="Times New Roman"/>
          <w:sz w:val="20"/>
        </w:rPr>
      </w:pPr>
      <w:r>
        <w:rPr>
          <w:rFonts w:ascii="Times New Roman" w:hAnsi="Times New Roman"/>
          <w:sz w:val="20"/>
        </w:rPr>
        <w:t xml:space="preserve">The December 2018 Notes are fully and unconditionally guaranteed on a senior unsecured basis by NXP USA. NXP USA is an issuer, along with the Company and NXP Funding, of the Existing Notes other than the December 2018 Notes. All of the Existing Notes are fully and unconditionally guaranteed on a senior unsecured basis by the Parent.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and NXP Funding cannot make payments on the 5.350% 2026 Notes or the 5.550% 2028 Notes when they are due, the applicable guarantors must make them instead. If the Company, NXP Funding and NXP USA cannot make payment on the 3.875% 2026 Notes, the 3.150% 2027 Notes, 4.400% 2027 Notes, the 4.300% 2029 Notes, the 3.400% 2030 Notes, the 2.500% 2031 Notes, the 2.650% 2032 Notes, 5.000% 2033 Notes, the 3.250% 2041 Notes, the 3.125% 2042 Notes and the 3.250% 2051 Notes when they are due, the applicable guarantors must make them instead. The laws of certain jurisdictions may limit the enforceability of certain guarantees and of the rights to the collateral supporting such guarantees.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Priority </w:t>
      </w:r>
    </w:p>
    <w:p>
      <w:pPr>
        <w:pStyle w:val="TextBody"/>
        <w:bidi w:val="0"/>
        <w:spacing w:before="120" w:after="0"/>
        <w:jc w:val="left"/>
        <w:rPr>
          <w:rFonts w:ascii="Times New Roman" w:hAnsi="Times New Roman"/>
          <w:sz w:val="20"/>
        </w:rPr>
      </w:pPr>
      <w:r>
        <w:rPr>
          <w:rFonts w:ascii="Times New Roman" w:hAnsi="Times New Roman"/>
          <w:sz w:val="20"/>
        </w:rPr>
        <w:t xml:space="preserve">Each of the Existing Notes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junior to all of the Issuers and any guarantors future secured indebtedness,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in right of payment with all of the existing and future senior unsecured indebtedness of NXP B.V. and any guarantors under the Existing Notes, as applicable, and senior in right of payment to the existing and future subordinated indebtedness of the Issuers and any guarantors;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of the liabilities, including trade payables, of our subsidiaries that are not obligors or guarantors of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Certain Covenants and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governing the Existing Notes contain covenants that, among other things, restrict, subject to certain exceptions, the Companys, NXP Fundings and NXP USAs (and in the case of the December 2018 Notes, the Companys and NXP Fundings)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certain liens;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leaseback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covenants are subject to a number of important qualifications and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governing the Existing Notes also contain certain customary events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94185_7"/>
      <w:bookmarkEnd w:id="9"/>
      <w:r>
        <w:rPr>
          <w:rFonts w:ascii="Times New Roman" w:hAnsi="Times New Roman"/>
          <w:b/>
          <w:sz w:val="20"/>
        </w:rPr>
        <w:t xml:space="preserve">DESCRIPTION OF THE NOTES AND THE NOTE GUARANTEE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description of the dollar-denominated 4.300% senior notes due 2028 (the 2028 Notes), the dollar-denominated 4.850% senior notes due 2032 (the 2032 Notes) and the dollar-denominated 5.250% senior notes due 2035 (the 2035 Notes and, together with the 2028 Notes and the 2032 Notes, the Notes). The Notes will be jointly and severally issued by NXP B.V. (the Company), NXP Funding LLC (NXP Funding) and NXP USA, Inc. (NXP USA and, together with the Company and NXP Funding, the Issuers). </w:t>
      </w:r>
    </w:p>
    <w:p>
      <w:pPr>
        <w:pStyle w:val="TextBody"/>
        <w:bidi w:val="0"/>
        <w:spacing w:before="240" w:after="0"/>
        <w:jc w:val="left"/>
        <w:rPr>
          <w:rFonts w:ascii="Times New Roman" w:hAnsi="Times New Roman"/>
          <w:i/>
          <w:sz w:val="20"/>
        </w:rPr>
      </w:pPr>
      <w:r>
        <w:rPr>
          <w:rFonts w:ascii="Times New Roman" w:hAnsi="Times New Roman"/>
          <w:i/>
          <w:sz w:val="20"/>
        </w:rPr>
        <w:t xml:space="preserve">In this Description of the Notes and the Note Guarantee, the Company refers only to NXP B.V., and any successor obligor to NXP B.V. on the Notes, and not to any of its subsidiaries, including NXP Funding or NXP USA. NXP Funding is a Wholly Owned Subsidiary of the Company that has been organized as a limited liability company in Delaware as a special purpose finance subsidiary to facilitate the offering of debt securities of the Company. Accordingly, you should not expect NXP Funding to participate in servicing the principal and interest obligations on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Issuers will issue the Notes under the indenture, dated as of May 16, 2022 (the Base Indenture), among the Issuers, the Parent, as guarantor, and Deutsche Bank Trust Company Americas, as trustee, as supplemented by the second supplemental indenture, to be dated as of the closing of this offering, (the Supplemental Indenture and together with the Base Indenture, the Indenture). </w:t>
      </w:r>
    </w:p>
    <w:p>
      <w:pPr>
        <w:pStyle w:val="TextBody"/>
        <w:bidi w:val="0"/>
        <w:spacing w:before="240" w:after="0"/>
        <w:jc w:val="left"/>
        <w:rPr>
          <w:rFonts w:ascii="Times New Roman" w:hAnsi="Times New Roman"/>
          <w:sz w:val="20"/>
        </w:rPr>
      </w:pPr>
      <w:r>
        <w:rPr>
          <w:rFonts w:ascii="Times New Roman" w:hAnsi="Times New Roman"/>
          <w:i/>
          <w:sz w:val="20"/>
        </w:rPr>
        <w:t>The following description is a summary and does not describe every aspect of the Notes and the Indenture. You can find the definitions of certain terms used in this description under Certain Definitions.</w:t>
      </w:r>
      <w:r>
        <w:rPr>
          <w:rFonts w:ascii="Times New Roman" w:hAnsi="Times New Roman"/>
          <w:sz w:val="20"/>
        </w:rPr>
        <w:t xml:space="preserve"> </w:t>
      </w:r>
      <w:r>
        <w:rPr>
          <w:rFonts w:ascii="Times New Roman" w:hAnsi="Times New Roman"/>
          <w:i/>
          <w:sz w:val="20"/>
        </w:rPr>
        <w:t>Because this is a summary, it may not contain all the information that is important to you. The following summary hereby supplements and, to the extent of any inconsistency therewith, replaces the description of the general terms and provisions of the securities set forth under the heading Description of Debt Securities</w:t>
      </w:r>
      <w:r>
        <w:rPr>
          <w:rFonts w:ascii="Times New Roman" w:hAnsi="Times New Roman"/>
          <w:sz w:val="20"/>
        </w:rPr>
        <w:t xml:space="preserve"> </w:t>
      </w:r>
      <w:r>
        <w:rPr>
          <w:rFonts w:ascii="Times New Roman" w:hAnsi="Times New Roman"/>
          <w:i/>
          <w:sz w:val="20"/>
        </w:rPr>
        <w:t>in the accompanying prospectus. You should read the Indenture in its entirety. The terms of the Notes will include those stated in the Indenture and those made part of such Indenture by reference to the Trust Indenture Act of 1939, as amended (the Trust Indenture Act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the Notes and the Note Guarantee </w:t>
      </w:r>
    </w:p>
    <w:p>
      <w:pPr>
        <w:pStyle w:val="TextBody"/>
        <w:bidi w:val="0"/>
        <w:spacing w:before="120" w:after="0"/>
        <w:jc w:val="left"/>
        <w:rPr>
          <w:rFonts w:ascii="Times New Roman" w:hAnsi="Times New Roman"/>
          <w:sz w:val="20"/>
        </w:rPr>
      </w:pPr>
      <w:r>
        <w:rPr>
          <w:rFonts w:ascii="Times New Roman" w:hAnsi="Times New Roman"/>
          <w:sz w:val="20"/>
        </w:rPr>
        <w:t xml:space="preserve">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senior unsecured obligations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senior in right of payment to any future Subordinated Indebtedness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effectively junior to any future secured obligations of the Issuers,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structurally subordinated to the liabilities of the Issuers respective Subsidiaries which do not guarantee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unconditionally guaranteed on a senior unsecured basis by the Guarantor.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The Notes will be issued in minimum denominations of $2,000 and in integral multiples of $1,000 in excess thereof. The rights of holders of beneficial interests in the Notes (the </w:t>
      </w:r>
      <w:r>
        <w:rPr>
          <w:rFonts w:ascii="Times New Roman" w:hAnsi="Times New Roman"/>
          <w:i/>
          <w:sz w:val="20"/>
        </w:rPr>
        <w:t>Holders</w:t>
      </w:r>
      <w:r>
        <w:rPr>
          <w:rFonts w:ascii="Times New Roman" w:hAnsi="Times New Roman"/>
          <w:sz w:val="20"/>
        </w:rPr>
        <w:t xml:space="preserve">) to receive the payments on such Notes are subject to applicable procedures of DTC. If the due date for any payment in respect of any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2028 Notes will be issued in an aggregate principal amount of $500,000,000 on the Issue Date. The 2028 Notes will mature on August 19, 2028. The 2032 Notes will be issued in an aggregate principal amount of $300,000,000 on the Issue Date. The 2032 Notes will mature on August 19, 2032. The 2035 Notes will be issued in an aggregate principal amount of $700,000,000 on the Issue Date. The 2035 Notes will mature on August 19, 2035.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2028 Notes will accrue at the rate of 4.300% per annum and will be payable, in cash, semi-annually in arrears on February 19 and August 19 of each year, commencing on February 19, 2026, to holders of record on the immediately preceding February 1 and August 1. Interest on the 2032 Notes will accrue at the rate of 4.850% per annum and will be payable, in cash, semi-annually in arrears on February 19 and August 19 of each year, commencing on February 19, 2026, to holders of record on the immediately preceding February 1 and August 1. Interest on the 2035 Notes will accrue at the rate of 5.250% per annum and will be payable, in cash, semi-annually in arrears on February 19 and August 19 of each year, commencing on February 19, 2026, to holders of record on the immediately preceding February 1 and August 1.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from the most recent date to which interest has been paid or, if no interest has been paid, from the date of original issuance. Interest will be computed on the basis of a 360-day year comprised of twelve 30-day months. Each interest period shall end on (but not include) the relevant interest payment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Notes </w:t>
      </w:r>
    </w:p>
    <w:p>
      <w:pPr>
        <w:pStyle w:val="TextBody"/>
        <w:bidi w:val="0"/>
        <w:spacing w:before="120" w:after="0"/>
        <w:jc w:val="left"/>
        <w:rPr>
          <w:rFonts w:ascii="Times New Roman" w:hAnsi="Times New Roman"/>
          <w:sz w:val="20"/>
        </w:rPr>
      </w:pPr>
      <w:r>
        <w:rPr>
          <w:rFonts w:ascii="Times New Roman" w:hAnsi="Times New Roman"/>
          <w:sz w:val="20"/>
        </w:rPr>
        <w:t>The Issuers may, without the consent of the Holders, increase the principal amount of Notes by issuing additional Notes of any series (</w:t>
      </w:r>
      <w:r>
        <w:rPr>
          <w:rFonts w:ascii="Times New Roman" w:hAnsi="Times New Roman"/>
          <w:i/>
          <w:sz w:val="20"/>
        </w:rPr>
        <w:t>Additional Notes</w:t>
      </w:r>
      <w:r>
        <w:rPr>
          <w:rFonts w:ascii="Times New Roman" w:hAnsi="Times New Roman"/>
          <w:sz w:val="20"/>
        </w:rPr>
        <w:t xml:space="preserve">) in the future on the same terms and conditions as the Notes of such series, except for any differences in the issue price, the interest (whether accrued prior to the issue date of the Additional Notes or otherwise) or the maturity. The Additional Notes will have the same CUSIP number as the outstanding Notes of such series, provided that any Additional Notes that are not fungible with the Notes of such series for U.S. federal income tax purposes will be issued under a separate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Methods of Receiving Payments on the Notes </w:t>
      </w:r>
    </w:p>
    <w:p>
      <w:pPr>
        <w:pStyle w:val="TextBody"/>
        <w:bidi w:val="0"/>
        <w:spacing w:before="120" w:after="0"/>
        <w:jc w:val="left"/>
        <w:rPr>
          <w:rFonts w:ascii="Times New Roman" w:hAnsi="Times New Roman"/>
          <w:sz w:val="20"/>
        </w:rPr>
      </w:pPr>
      <w:r>
        <w:rPr>
          <w:rFonts w:ascii="Times New Roman" w:hAnsi="Times New Roman"/>
          <w:sz w:val="20"/>
        </w:rPr>
        <w:t>Principal, premium, if any, interest and Additional Amounts (as defined below), if any, on the Notes of each series in registered, global form without interest coupons (collectively, the </w:t>
      </w:r>
      <w:r>
        <w:rPr>
          <w:rFonts w:ascii="Times New Roman" w:hAnsi="Times New Roman"/>
          <w:i/>
          <w:sz w:val="20"/>
        </w:rPr>
        <w:t>Global Notes</w:t>
      </w:r>
      <w:r>
        <w:rPr>
          <w:rFonts w:ascii="Times New Roman" w:hAnsi="Times New Roman"/>
          <w:sz w:val="20"/>
        </w:rPr>
        <w:t xml:space="preserve">) will be payable at the specified office or agency of one or more Paying Agents (as defined herein), provided that all such payments with respect to Notes represented by one or more Global Notes registered in the name of or held by a nominee of DTC will be made by wire transfer of immediately available funds to the account specified by the Holder or Holders thereof. </w:t>
      </w:r>
    </w:p>
    <w:p>
      <w:pPr>
        <w:pStyle w:val="TextBody"/>
        <w:bidi w:val="0"/>
        <w:spacing w:before="240" w:after="0"/>
        <w:jc w:val="left"/>
        <w:rPr>
          <w:rFonts w:ascii="Times New Roman" w:hAnsi="Times New Roman"/>
          <w:sz w:val="20"/>
        </w:rPr>
      </w:pPr>
      <w:r>
        <w:rPr>
          <w:rFonts w:ascii="Times New Roman" w:hAnsi="Times New Roman"/>
          <w:sz w:val="20"/>
        </w:rPr>
        <w:t>Principal, premium, if any, interest and Additional Amounts, if any, on any certificated securities (</w:t>
      </w:r>
      <w:r>
        <w:rPr>
          <w:rFonts w:ascii="Times New Roman" w:hAnsi="Times New Roman"/>
          <w:i/>
          <w:sz w:val="20"/>
        </w:rPr>
        <w:t>Definitive Registered Notes</w:t>
      </w:r>
      <w:r>
        <w:rPr>
          <w:rFonts w:ascii="Times New Roman" w:hAnsi="Times New Roman"/>
          <w:sz w:val="20"/>
        </w:rPr>
        <w:t xml:space="preserve">) will be payable at the specified office or agency of the Paying Agent in the Borough of Manhattan, City of New York maintained for such purposes. In addition, interest on the Definitive Registered Notes may be paid by check mailed to the person entitled thereto as shown on the register for the Definitive Registered Notes. See </w:t>
      </w:r>
      <w:r>
        <w:rPr>
          <w:rFonts w:ascii="Times New Roman" w:hAnsi="Times New Roman"/>
          <w:i/>
          <w:sz w:val="20"/>
        </w:rPr>
        <w:t></w:t>
      </w:r>
      <w:r>
        <w:rPr>
          <w:rFonts w:ascii="Times New Roman" w:hAnsi="Times New Roman"/>
          <w:sz w:val="20"/>
        </w:rPr>
        <w:t>Paying Agent and Registrar for the Notes.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and Registrar for the Notes </w:t>
      </w:r>
    </w:p>
    <w:p>
      <w:pPr>
        <w:pStyle w:val="TextBody"/>
        <w:bidi w:val="0"/>
        <w:spacing w:before="120" w:after="0"/>
        <w:jc w:val="left"/>
        <w:rPr>
          <w:rFonts w:ascii="Times New Roman" w:hAnsi="Times New Roman"/>
          <w:sz w:val="20"/>
        </w:rPr>
      </w:pPr>
      <w:r>
        <w:rPr>
          <w:rFonts w:ascii="Times New Roman" w:hAnsi="Times New Roman"/>
          <w:sz w:val="20"/>
        </w:rPr>
        <w:t>The Issuers will maintain a paying agent (the </w:t>
      </w:r>
      <w:r>
        <w:rPr>
          <w:rFonts w:ascii="Times New Roman" w:hAnsi="Times New Roman"/>
          <w:i/>
          <w:sz w:val="20"/>
        </w:rPr>
        <w:t>Paying Agent</w:t>
      </w:r>
      <w:r>
        <w:rPr>
          <w:rFonts w:ascii="Times New Roman" w:hAnsi="Times New Roman"/>
          <w:sz w:val="20"/>
        </w:rPr>
        <w:t xml:space="preserve">) for the Notes in the Borough of Manhattan, City of New York. The initial Paying Agent for the Notes will be Deutsche Bank Trust Company Americas. </w:t>
      </w:r>
    </w:p>
    <w:p>
      <w:pPr>
        <w:pStyle w:val="TextBody"/>
        <w:bidi w:val="0"/>
        <w:spacing w:before="240" w:after="0"/>
        <w:jc w:val="left"/>
        <w:rPr>
          <w:rFonts w:ascii="Times New Roman" w:hAnsi="Times New Roman"/>
          <w:sz w:val="20"/>
        </w:rPr>
      </w:pPr>
      <w:r>
        <w:rPr>
          <w:rFonts w:ascii="Times New Roman" w:hAnsi="Times New Roman"/>
          <w:sz w:val="20"/>
        </w:rPr>
        <w:t>The Issuers will also maintain a registrar (the </w:t>
      </w:r>
      <w:r>
        <w:rPr>
          <w:rFonts w:ascii="Times New Roman" w:hAnsi="Times New Roman"/>
          <w:i/>
          <w:sz w:val="20"/>
        </w:rPr>
        <w:t>Registrar</w:t>
      </w:r>
      <w:r>
        <w:rPr>
          <w:rFonts w:ascii="Times New Roman" w:hAnsi="Times New Roman"/>
          <w:sz w:val="20"/>
        </w:rPr>
        <w:t>) and a transfer agent (the </w:t>
      </w:r>
      <w:r>
        <w:rPr>
          <w:rFonts w:ascii="Times New Roman" w:hAnsi="Times New Roman"/>
          <w:i/>
          <w:sz w:val="20"/>
        </w:rPr>
        <w:t>Transfer Agent</w:t>
      </w:r>
      <w:r>
        <w:rPr>
          <w:rFonts w:ascii="Times New Roman" w:hAnsi="Times New Roman"/>
          <w:sz w:val="20"/>
        </w:rPr>
        <w:t xml:space="preserve">) in the Borough of Manhattan, City of New York. The Registrar and the Transfer Agent will maintain a register reflecting the ownership of the Definitive Registered Notes outstanding from time to time, if any, and will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on and facilitate transfers of Definitive Registered Notes on behalf of the Issuers. The Transfer Agent shall perform the functions of a transfer agent. The initial Registrar and the initial Transfer Agent for the Notes will be Deutsche Bank Trust Company Americas. </w:t>
      </w:r>
    </w:p>
    <w:p>
      <w:pPr>
        <w:pStyle w:val="TextBody"/>
        <w:bidi w:val="0"/>
        <w:spacing w:before="240" w:after="0"/>
        <w:jc w:val="left"/>
        <w:rPr>
          <w:rFonts w:ascii="Times New Roman" w:hAnsi="Times New Roman"/>
          <w:sz w:val="20"/>
        </w:rPr>
      </w:pPr>
      <w:r>
        <w:rPr>
          <w:rFonts w:ascii="Times New Roman" w:hAnsi="Times New Roman"/>
          <w:sz w:val="20"/>
        </w:rPr>
        <w:t xml:space="preserve">The Issuers may change any Paying Agent, Registrar or Transfer Agent for the Notes without prior notice to the Holders. The Issuers or any of its Subsidiaries may act as Paying Agent or Registrar in respect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the Notes of any series in accordance with the provisions of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Note Guarantee </w:t>
      </w:r>
    </w:p>
    <w:p>
      <w:pPr>
        <w:pStyle w:val="TextBody"/>
        <w:bidi w:val="0"/>
        <w:spacing w:before="120" w:after="0"/>
        <w:jc w:val="left"/>
        <w:rPr>
          <w:rFonts w:ascii="Times New Roman" w:hAnsi="Times New Roman"/>
          <w:sz w:val="20"/>
        </w:rPr>
      </w:pPr>
      <w:r>
        <w:rPr>
          <w:rFonts w:ascii="Times New Roman" w:hAnsi="Times New Roman"/>
          <w:sz w:val="20"/>
        </w:rPr>
        <w:t>The obligations of the Issuers pursuant to the Notes, including any payment obligation resulting from a Change of Control Triggering Event, will be guaranteed (the </w:t>
      </w:r>
      <w:r>
        <w:rPr>
          <w:rFonts w:ascii="Times New Roman" w:hAnsi="Times New Roman"/>
          <w:i/>
          <w:sz w:val="20"/>
        </w:rPr>
        <w:t>Note Guarantee</w:t>
      </w:r>
      <w:r>
        <w:rPr>
          <w:rFonts w:ascii="Times New Roman" w:hAnsi="Times New Roman"/>
          <w:sz w:val="20"/>
        </w:rPr>
        <w:t xml:space="preserve">) on a senior unsecured basis by the Parent.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the operations of the Company are conducted through its Subsidiaries and joint ventures. Such Subsidiaries of the Company and joint ventures have not guaranteed the Notes. Claims of creditors of Subsidiaries, including trade creditors, secured creditors and creditors holding debt and guarantees issued by Subsidiaries, and claims of preferred and minority stockholders (if any) of Subsidiaries and claims against joint ventures generally will have priority with respect to the assets and earnings of Subsidiaries and joint ventures over the claims of creditors of the Company, including Holders. The Notes and the Note Guarantee therefore will be structurally or effectively subordinated to creditors (including trade creditors) and preferred and minority stockholders (if any) of Subsidiaries of the Company and joint ventures.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in this section and under the provision described under Redemption for Taxation Reasons, the Notes are not redeemable at the option of the Issuers.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Redemption for the 2028 Notes </w:t>
      </w:r>
    </w:p>
    <w:p>
      <w:pPr>
        <w:pStyle w:val="TextBody"/>
        <w:bidi w:val="0"/>
        <w:spacing w:before="120" w:after="0"/>
        <w:jc w:val="left"/>
        <w:rPr>
          <w:rFonts w:ascii="Times New Roman" w:hAnsi="Times New Roman"/>
          <w:sz w:val="20"/>
        </w:rPr>
      </w:pPr>
      <w:r>
        <w:rPr>
          <w:rFonts w:ascii="Times New Roman" w:hAnsi="Times New Roman"/>
          <w:sz w:val="20"/>
        </w:rPr>
        <w:t>Prior to July 19, 2028 (one month prior to the maturity date of the 2028 Notes) (the </w:t>
      </w:r>
      <w:r>
        <w:rPr>
          <w:rFonts w:ascii="Times New Roman" w:hAnsi="Times New Roman"/>
          <w:i/>
          <w:sz w:val="20"/>
        </w:rPr>
        <w:t>2028</w:t>
      </w:r>
      <w:r>
        <w:rPr>
          <w:rFonts w:ascii="Times New Roman" w:hAnsi="Times New Roman"/>
          <w:sz w:val="20"/>
        </w:rPr>
        <w:t xml:space="preserve"> </w:t>
      </w:r>
      <w:r>
        <w:rPr>
          <w:rFonts w:ascii="Times New Roman" w:hAnsi="Times New Roman"/>
          <w:i/>
          <w:sz w:val="20"/>
        </w:rPr>
        <w:t>Notes Par Call Date</w:t>
      </w:r>
      <w:r>
        <w:rPr>
          <w:rFonts w:ascii="Times New Roman" w:hAnsi="Times New Roman"/>
          <w:sz w:val="20"/>
        </w:rPr>
        <w:t xml:space="preserve">), the Issuers may redeem the 2028 Notes at their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2028 Notes Par Call Date) on a semi-annual basis (assuming a 360-day year consisting of twelve 30-day months) at the Treasury Rate plus 10 basis points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2028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2028 Notes Par Call Date, the Issuers may redeem the 2028 Notes, in whole or in part, at any time and from time to time, at a redemption price equal to 100% of the principal amount of the 2028 Notes being redeemed plus accrued and unpaid interest thereon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Optional Redemption for the 2032 Notes </w:t>
      </w:r>
    </w:p>
    <w:p>
      <w:pPr>
        <w:pStyle w:val="TextBody"/>
        <w:bidi w:val="0"/>
        <w:spacing w:before="120" w:after="0"/>
        <w:jc w:val="left"/>
        <w:rPr>
          <w:rFonts w:ascii="Times New Roman" w:hAnsi="Times New Roman"/>
          <w:sz w:val="20"/>
        </w:rPr>
      </w:pPr>
      <w:r>
        <w:rPr>
          <w:rFonts w:ascii="Times New Roman" w:hAnsi="Times New Roman"/>
          <w:sz w:val="20"/>
        </w:rPr>
        <w:t>Prior to June 19, 2032 (two months prior to the maturity date of the 2032 Notes) (the </w:t>
      </w:r>
      <w:r>
        <w:rPr>
          <w:rFonts w:ascii="Times New Roman" w:hAnsi="Times New Roman"/>
          <w:i/>
          <w:sz w:val="20"/>
        </w:rPr>
        <w:t>2032</w:t>
      </w:r>
      <w:r>
        <w:rPr>
          <w:rFonts w:ascii="Times New Roman" w:hAnsi="Times New Roman"/>
          <w:sz w:val="20"/>
        </w:rPr>
        <w:t xml:space="preserve"> </w:t>
      </w:r>
      <w:r>
        <w:rPr>
          <w:rFonts w:ascii="Times New Roman" w:hAnsi="Times New Roman"/>
          <w:i/>
          <w:sz w:val="20"/>
        </w:rPr>
        <w:t>Notes Par Call Date</w:t>
      </w:r>
      <w:r>
        <w:rPr>
          <w:rFonts w:ascii="Times New Roman" w:hAnsi="Times New Roman"/>
          <w:sz w:val="20"/>
        </w:rPr>
        <w:t xml:space="preserve">), the Issuers may redeem the 2032 Notes at their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2032 Notes Par Call Date) on a semi-annual basis (assuming a 360-day year consisting of twelve 30-day months) at the Treasury Rate plus 15 basis points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2032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2032 Notes Par Call Date, the Issuers may redeem the 2032 Notes, in whole or in part, at any time and from time to time, at a redemption price equal to 100% of the principal amount of the 2032 Notes being redeemed plus accrued and unpaid interest thereon to, but excluding, the redemption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Redemption for the 2035 Notes </w:t>
      </w:r>
    </w:p>
    <w:p>
      <w:pPr>
        <w:pStyle w:val="TextBody"/>
        <w:bidi w:val="0"/>
        <w:spacing w:before="120" w:after="0"/>
        <w:jc w:val="left"/>
        <w:rPr>
          <w:rFonts w:ascii="Times New Roman" w:hAnsi="Times New Roman"/>
          <w:sz w:val="20"/>
        </w:rPr>
      </w:pPr>
      <w:r>
        <w:rPr>
          <w:rFonts w:ascii="Times New Roman" w:hAnsi="Times New Roman"/>
          <w:sz w:val="20"/>
        </w:rPr>
        <w:t>Prior to May 19, 2035 (three months prior to the maturity date of the 2035 Notes) (the </w:t>
      </w:r>
      <w:r>
        <w:rPr>
          <w:rFonts w:ascii="Times New Roman" w:hAnsi="Times New Roman"/>
          <w:i/>
          <w:sz w:val="20"/>
        </w:rPr>
        <w:t>2035 Notes Par Call Date</w:t>
      </w:r>
      <w:r>
        <w:rPr>
          <w:rFonts w:ascii="Times New Roman" w:hAnsi="Times New Roman"/>
          <w:sz w:val="20"/>
        </w:rPr>
        <w:t xml:space="preserve">), the Issuers may redeem the 2035 Notes at their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2035 Notes Par Call Date) on a semi-annual basis (assuming a 360-day year consisting of twelve 30-day months) at the Treasury Rate plus 15 basis points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2035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2035 Notes Par Call Date, the Issuers may redeem the 2035 Notes, in whole or in part, at any time and from time to time, at a redemption price equal to 100% of the principal amount of the 2035 Notes being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Procedures for notices of redemption will be provided as set forth under Selection and Notice below.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and notice of redemption may, at the Issuers discretion, be subject to the satisfaction of one or more conditions precedent, including completion of a corporate transaction. In such event, the related notice of redemption shall describe each such condition and, if applicable, shall state that, at the Issuers discretion, the date of redemption may be delayed until such time (including more than 60 days after the notice of redemption was given) as any or all such conditions shall be satisfied (or waived by the Issuers in their sole discretion), or such redemption may not occur and such notice may be rescinded in the event that any or all such conditions shall not have been satisfied or waived by the date of redemption, or by the date of redemption so delayed. The Issuers shall provide written notice to the Trustee prior to the close of business one Business Day prior to the redemption date if any such redemption has been rescinded or delayed, and upon receipt the Trustee shall provide such notice to each Holder. </w:t>
      </w:r>
    </w:p>
    <w:p>
      <w:pPr>
        <w:pStyle w:val="TextBody"/>
        <w:bidi w:val="0"/>
        <w:spacing w:before="240" w:after="0"/>
        <w:jc w:val="left"/>
        <w:rPr>
          <w:rFonts w:ascii="Times New Roman" w:hAnsi="Times New Roman"/>
          <w:sz w:val="20"/>
        </w:rPr>
      </w:pPr>
      <w:r>
        <w:rPr>
          <w:rFonts w:ascii="Times New Roman" w:hAnsi="Times New Roman"/>
          <w:sz w:val="20"/>
        </w:rPr>
        <w:t xml:space="preserve">If the optional redemption date is on or after an interest record date and on or before the related interest payment date, the accrued and unpaid interest to, but excluding, the redemption date, will be paid to the Person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whose name the Note is registered at the close of business on such record date, and no additional interest will be payable to Holders whose Notes will be subject to redemption by the Issuers.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Offers to Purchase; Open Market Purchases </w:t>
      </w:r>
    </w:p>
    <w:p>
      <w:pPr>
        <w:pStyle w:val="TextBody"/>
        <w:bidi w:val="0"/>
        <w:spacing w:before="120" w:after="0"/>
        <w:jc w:val="left"/>
        <w:rPr>
          <w:rFonts w:ascii="Times New Roman" w:hAnsi="Times New Roman"/>
          <w:sz w:val="20"/>
        </w:rPr>
      </w:pPr>
      <w:r>
        <w:rPr>
          <w:rFonts w:ascii="Times New Roman" w:hAnsi="Times New Roman"/>
          <w:sz w:val="20"/>
        </w:rPr>
        <w:t xml:space="preserve">The Issuers are not required to make any mandatory redemption or sinking fund payments with respect to the Notes. However, under certain circumstances, we may be required to offer to purchase Notes as described under Repurchase of Notes upon a Change of Control Triggering Event. We may at any time and from time to time purchase Notes in the open market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partial redemption of the Notes of a series, selection of the Notes of such series for redemption will be made on a pro rata basis, to the extent practicable or by lot or such other similar method in accordance with the procedures of the Depositary; provided that no Notes of $2,000 or less shall be redeemed or repurchased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any series are held by DTC (or another depositary), the redemption of the Notes of such series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Issuers default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for Taxation Reasons </w:t>
      </w:r>
    </w:p>
    <w:p>
      <w:pPr>
        <w:pStyle w:val="TextBody"/>
        <w:bidi w:val="0"/>
        <w:spacing w:before="120" w:after="0"/>
        <w:jc w:val="left"/>
        <w:rPr>
          <w:rFonts w:ascii="Times New Roman" w:hAnsi="Times New Roman"/>
          <w:sz w:val="20"/>
        </w:rPr>
      </w:pPr>
      <w:r>
        <w:rPr>
          <w:rFonts w:ascii="Times New Roman" w:hAnsi="Times New Roman"/>
          <w:sz w:val="20"/>
        </w:rPr>
        <w:t>The Issuers, the Parent or a successor to an Issuer or the Parent may redeem the Notes of a series in whole, but not in part, at any time upon giving not less than 15 nor more than 60 days prior notice to the Holders (which notice will be irrevocable) at a redemption price equal to 100% of the principal amount thereof, together with accrued and unpaid interest, if any, to, but excluding the date fixed for redemption (subject to the right of Holders of record on the relevant record date to receive interest due on the relevant interest payment date) and all Additional Amounts (see Withholding Taxes), if any, then due and which will become due on the tax redemption date as a result of the redemption or otherwise, if any, if an Issuer, the Parent or a successor to an Issuer or the Parent (each, a </w:t>
      </w:r>
      <w:r>
        <w:rPr>
          <w:rFonts w:ascii="Times New Roman" w:hAnsi="Times New Roman"/>
          <w:i/>
          <w:sz w:val="20"/>
        </w:rPr>
        <w:t>Payor</w:t>
      </w:r>
      <w:r>
        <w:rPr>
          <w:rFonts w:ascii="Times New Roman" w:hAnsi="Times New Roman"/>
          <w:sz w:val="20"/>
        </w:rPr>
        <w:t xml:space="preserve">) determines in good faith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or amendment to, the law or tax treaties (or any regulations, official published guidance or rulings promulgated thereunder) of a Relevant Taxing Jurisdiction (as defined herein) affecting taxation;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change in, or amendment to, or the introduction of, an official position regarding the application, administration or interpretation of such laws, tax treaties, regulations, official published guidance or rulings (including a holding, judgment or order by a court of competent jurisdiction or a change in published administrative practice) of a Relevant Taxing Jurisdiction (each of the foregoing in clauses (1) and (2), a </w:t>
            </w:r>
            <w:r>
              <w:rPr>
                <w:rFonts w:ascii="Times New Roman" w:hAnsi="Times New Roman"/>
                <w:i/>
                <w:sz w:val="20"/>
              </w:rPr>
              <w:t>Change in Tax Law</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Payor is, or on the next interest payment date in respect of the Notes of such series would be, required to pay any Additional Amounts, and such obligation cannot be avoided by taking reasonable measures available to the Issuers, the Parent or a successor to an Issuer or the Parent (including, for the avoidance of doubt,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appointment of a new Paying Agent where this would be reasonable, but not including assignment of the obligation to make payment with respect to the Notes). In the case of redemption due to such obligation to pay Additional Amounts as a result of a Change in Tax Law in a jurisdiction that is a Relevant Taxing Jurisdiction at the date of this prospectus, such Change in Tax Law must become effective after the date of this prospectus. In the case of redemption due to such obligation to pay Additional Amounts as a result of a Change in Tax Law in a jurisdiction that becomes a Relevant Taxing Jurisdiction after the date of this prospectus, such Change in Tax Law must become effective after the date the jurisdiction becomes a Relevant Taxing Jurisdiction, unless the Change in Tax Law would have applied to the prior Relevant Taxing Jurisdiction. Notice of redemption for taxation reasons will be published in accordance with the procedures described under Selection and Notice. Notwithstanding the foregoing, no such notice of redemption will be given (a) earlier than 90 days prior to the earliest date on which the Payor would be obliged to make such payment of Additional Amounts if a payment in respect of the Notes were then due and (b) unless, at the time such notice is given, such obligation to pay such Additional Amounts remains in effect. Prior to the publication or mailing of any notice of redemption of the Notes pursuant to the foregoing, the Issuers or Successor Company will deliver to the Trustee (a) an Officers Certificate stating that it is entitled to effect such redemption and setting forth a statement of facts showing that the conditions precedent to its right to redeem have been satisfied and that it would not be able to avoid the obligation to pay Additional Amounts by taking reasonable measures available to it and (b) an opinion of an independent tax counsel of recognized standing to the effect that the relevant Payor has been or will become obligated to pay Additional Amounts as a result of a Change in Tax Law. The Trustee will accept such Officers Certificate and opinion as sufficient evidence of the satisfaction of the conditions precedent described above, without further inquiry, in which event it will be conclusive and binding on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All payments made by or on behalf of a Payor on the Notes or the Note Guarantee will be made free and clear of and without withholding or deduction for, or on account of, any Taxes unless the withholding or deduction of such Taxes is then required by law. If any deduction or withholding for, or on account of, any Taxes imposed or levied by or on behalf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Netherlands, the United States or any political subdivision or Governmental Authority thereof or therein having power to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jurisdiction from or through which payment on any such Note or Note Guarantee is made by the relevant Payor or its agents, or any political subdivision or Governmental Authority thereof or therein having the power to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other jurisdiction in which the Payor is incorporated or organized, engaged in business for tax purposes, a resident for tax purposes, or any political subdivision or Governmental Authority thereof or therein having the power to tax (each of clause (1), (2) and (3), a </w:t>
            </w:r>
            <w:r>
              <w:rPr>
                <w:rFonts w:ascii="Times New Roman" w:hAnsi="Times New Roman"/>
                <w:i/>
                <w:sz w:val="20"/>
              </w:rPr>
              <w:t>Relevant Taxing Jurisdiction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will at any time be required from any payments made with respect to any Note or the Note Guarantee, including payments of principal, redemption price, premium, if any, or interest, the Payor will pay (together with such payments) such additional amounts (the </w:t>
      </w:r>
      <w:r>
        <w:rPr>
          <w:rFonts w:ascii="Times New Roman" w:hAnsi="Times New Roman"/>
          <w:i/>
          <w:sz w:val="20"/>
        </w:rPr>
        <w:t>Additional Amounts</w:t>
      </w:r>
      <w:r>
        <w:rPr>
          <w:rFonts w:ascii="Times New Roman" w:hAnsi="Times New Roman"/>
          <w:sz w:val="20"/>
        </w:rPr>
        <w:t xml:space="preserve">) as may be necessary in order that the net amounts received in respect of such payments by the Holders or beneficial owners after such withholding or deduction (including any such deduction or withholding from such Additional Amounts), will not be less than the amounts which would have been received in respect of such payments on any such Note or the Note Guarantee in the absence of such withholding or deduction; provided, however, that no such Additional Amounts will be payable for or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Holder that is a U.S. Person (as defined below), any Taxes imposed by the United States or a political subdivision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would not have been so imposed but for the existence of any present or former connection between the relevant Holder or the beneficial owner of a Note (or between a fiduciary, settlor, beneficiary, partner, member or shareholder of, or possessor of power over the relevant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or beneficial owner, if the relevant Holder or beneficial owner is an estate, nominee, trust, partnership, limited liability company or corporation) and the Relevant Taxing Jurisdiction (including, without limitation, being resident for tax purposes or being a citizen or resident or national of, or carrying on a business or maintaining a permanent establishment or a dependent agent in, or being physically present in, the Relevant Taxing Jurisdiction) but excluding, in each case, any connection arising solely from the acquisition, ownership or holding of such Note or the receipt of any payment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are imposed or withheld by reason of the failure by the Holder or the beneficial owner of the Note to comply with a written request of the Payor addressed to the Holder or the beneficial owner after reasonable notice, to provide certification, information, documents or other evidence concerning the nationality, residence, identity or connection with the Relevant Taxing Jurisdiction of the Holder or such beneficial owner or to make any declaration or similar claim or satisfy any other reporting requirement relating to such matters, which is required by a law, statute, treaty, regulation or administrative practice of the Relevant Taxing Jurisdiction as a precondition to exemption from, or reduction in the rate of, all or part of such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are payable otherwise than by deduction or withholding from a payment of the principal, premium, if any or interest on the Notes or any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estate, inheritance, gift, value added, sales, use, excise,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imposed in connection with a Note or Note Guarantee presented for payment (where presentation is permitted or required for payment) by or on behalf of a Holder or beneficial owner who would have been able to avoid such Tax by presenting the relevant Note or Note Guarantee to, or otherwise accepting payment from,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Taxes imposed by reason of a Holder</w:t>
            </w:r>
            <w:r>
              <w:rPr>
                <w:rFonts w:ascii="Times New Roman" w:hAnsi="Times New Roman"/>
                <w:i/>
                <w:sz w:val="20"/>
              </w:rPr>
              <w:t></w:t>
            </w:r>
            <w:r>
              <w:rPr>
                <w:rFonts w:ascii="Times New Roman" w:hAnsi="Times New Roman"/>
                <w:sz w:val="20"/>
              </w:rPr>
              <w:t xml:space="preserve">s past or present status as a passive foreign investment company, a controlled foreign corporation or a personal holding company, in each case as defined for U.S. federal income tax purposes, or as a corporation that accumulates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any Taxes imposed on interest received by (1) a 10% shareholder (as defined in section 871(h)(3)(B) of the U.S. Internal Revenue Code of 1986, as amended (the </w:t>
            </w:r>
            <w:r>
              <w:rPr>
                <w:rFonts w:ascii="Times New Roman" w:hAnsi="Times New Roman"/>
                <w:i/>
                <w:sz w:val="20"/>
              </w:rPr>
              <w:t>Code</w:t>
            </w:r>
            <w:r>
              <w:rPr>
                <w:rFonts w:ascii="Times New Roman" w:hAnsi="Times New Roman"/>
                <w:sz w:val="20"/>
              </w:rPr>
              <w:t>), and the regulations promulgated thereunder) of the Issuers or (2) a controlled foreign corporation that is related to the Issuers within the meaning of section 864(d)(4) of the Code, or (3) a bank receiving interest described in section 881(c)(3)(A) of the Code, to the extent such tax, assessment or other governmental charge would not have been imposed but for the Holder</w:t>
            </w:r>
            <w:r>
              <w:rPr>
                <w:rFonts w:ascii="Times New Roman" w:hAnsi="Times New Roman"/>
                <w:i/>
                <w:sz w:val="20"/>
              </w:rPr>
              <w:t></w:t>
            </w:r>
            <w:r>
              <w:rPr>
                <w:rFonts w:ascii="Times New Roman" w:hAnsi="Times New Roman"/>
                <w:sz w:val="20"/>
              </w:rPr>
              <w:t xml:space="preserve">s status as described in clauses (1) through (3) of this sub-clause (8);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imposed or required pursuant to an agreement described in Section 1471(b) of the Code, or otherwise imposed pursuant to Sections 1471 through 1474 of the Code (or any regulations thereunder or official interpretations thereof) or an intergovernmental agreement between the United States and another jurisdiction facilitating the implementation thereof (or any fiscal or regulatory legislation, rules or practices implementing such an intergovernmental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imposed, deducted or withheld pursuant to the Dutch Withholding Tax Act 2021 (Wet Bronbelasting 2021);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Additional Amounts will also not be payable (x) if the payment could have been made without such deduction or withholding if the Holder or the beneficiary of the payment had presented the Note for payment (where presentation is required for payment) within 15 days after the relevant payment was first made available for payment to the Holder or (y) where, had the beneficial owner of the Note been the Holder, such beneficial owner would not have been entitled to payment of Additional Amounts by reason of clauses (1) to (11) inclusive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used in this section Withholding Taxes, U.S. Person means any citizen or individual resident of the United States for U.S. federal income tax purposes, a corporation (or other entity subject to tax as a corporation for U.S. federal income tax purposes) that is created or organized in or under the laws of the United States, any state of the United States, any state or political division thereof or the District of Columbia, a partnership (or other entity treated as a partnership for U.S. federal income tax purposes) that is created or organized in or under the laws of the United States, any state or political subdivision thereof or the District of Columbia, any estate the income of which is subject to U.S. federal income taxation regardless of its source, or any trust that (i) is subject to the supervision of a court within the United States and the control of one or more United States persons or (ii)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The Payor will (i) make any required withholding or deduction and (ii) remit the full amount deducted or withheld to the Relevant Taxing Jurisdiction in accordance with applicable law. The Payor will use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will provide such certified copies to the Trustee. Such copies shall be made available to the Holders upon request. The Payor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any Payor will be obligated to pay Additional Amounts under or with respect to any payment made on any Note or the Note Guarantee, at least 30 days prior to the date of such payment, the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Payor may deliver such Officers Certificate as promptly as practicable after the date that is 30 days prior to the payment date). The Trustee will be entitled to rely solely on such Officers Certificate as conclusive proof that such payments are necessary. </w:t>
      </w:r>
    </w:p>
    <w:p>
      <w:pPr>
        <w:pStyle w:val="TextBody"/>
        <w:bidi w:val="0"/>
        <w:spacing w:before="240" w:after="0"/>
        <w:jc w:val="left"/>
        <w:rPr>
          <w:rFonts w:ascii="Times New Roman" w:hAnsi="Times New Roman"/>
          <w:sz w:val="20"/>
        </w:rPr>
      </w:pPr>
      <w:r>
        <w:rPr>
          <w:rFonts w:ascii="Times New Roman" w:hAnsi="Times New Roman"/>
          <w:sz w:val="20"/>
        </w:rPr>
        <w:t xml:space="preserve">Wherever in any of the Indenture, the Note Guarantee or this Description of the Notes and the Note Guarantee there is mentioned, in any context: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prices in connection with a purchase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amount payable on or with respect to any of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reference shall be deemed to include payment of Additional Amounts as described under this heading to the extent that, in such context, Additional Amounts are, were or would be payable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Payors will pay any present or future stamp, court or documentary Taxes, or any other excise, property or similar Taxes, that arise in any Relevant Taxing Jurisdiction from the execution, delivery, registration or enforcement of any Notes, the Indenture or any other document or instrument in relation thereto (other than a transfer or exchange of the Notes), and the Payors agree to indemnify the Holders for any such taxes paid by such Holders.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obligations of this Withholding Taxes section will survive any termination, defeasance or discharge of the Indenture and will apply mutatis mutandis to any subsequent Relevant Taxing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 Treatment of NXP Funding </w:t>
      </w:r>
    </w:p>
    <w:p>
      <w:pPr>
        <w:pStyle w:val="TextBody"/>
        <w:bidi w:val="0"/>
        <w:spacing w:before="120" w:after="0"/>
        <w:jc w:val="left"/>
        <w:rPr>
          <w:rFonts w:ascii="Times New Roman" w:hAnsi="Times New Roman"/>
          <w:sz w:val="20"/>
        </w:rPr>
      </w:pPr>
      <w:r>
        <w:rPr>
          <w:rFonts w:ascii="Times New Roman" w:hAnsi="Times New Roman"/>
          <w:sz w:val="20"/>
        </w:rPr>
        <w:t xml:space="preserve">NXP Funding may not hold any material assets, become liable for any material obligations or engage in any business activities, provided that it may be a co-obligor or guarantor with respect to the Notes or any other Indebtedness issued by the Company or a Guarantor, and may engage in any activities directly related thereto or necessary in connection therewith. NXP Funding is treated as a disregarded entity of the Company for U.S. federal income tax purposes, and for so long as any of the Notes remain outstanding, the Issuers will not take any action that is inconsistent with NXP Funding being treated as a disregarded entity of the Company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Not later than 60 days following a Change of Control Triggering Event with respect to a series of Notes, unless the Issuers have exercised their right to redeem all of the Notes of such series as described under Optional Redemption, the Issuers will make an Offer to Purchase all of the outstanding Notes of such series at a purchase price equal to 101% of the principal amount thereof plus accrued and unpaid interest, if any, to, but excluding, the date of purchase. </w:t>
      </w:r>
    </w:p>
    <w:p>
      <w:pPr>
        <w:pStyle w:val="TextBody"/>
        <w:bidi w:val="0"/>
        <w:spacing w:before="240" w:after="0"/>
        <w:jc w:val="left"/>
        <w:rPr>
          <w:rFonts w:ascii="Times New Roman" w:hAnsi="Times New Roman"/>
          <w:sz w:val="20"/>
        </w:rPr>
      </w:pPr>
      <w:r>
        <w:rPr>
          <w:rFonts w:ascii="Times New Roman" w:hAnsi="Times New Roman"/>
          <w:sz w:val="20"/>
        </w:rPr>
        <w:t>An </w:t>
      </w:r>
      <w:r>
        <w:rPr>
          <w:rFonts w:ascii="Times New Roman" w:hAnsi="Times New Roman"/>
          <w:i/>
          <w:sz w:val="20"/>
        </w:rPr>
        <w:t>Offer to Purchase</w:t>
      </w:r>
      <w:r>
        <w:rPr>
          <w:rFonts w:ascii="Times New Roman" w:hAnsi="Times New Roman"/>
          <w:sz w:val="20"/>
        </w:rPr>
        <w:t xml:space="preserv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to Purchase will also contain instructions and materials necessary to enable Holders to tender Notes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A Holder may tender all or any portion of its Notes of the applicable series of Notes pursuant to an Offer to Purchase, subject to the requirement that any portion of a Note tendered must be in denominations of $2,000 and integral multiples of $1,000 in excess thereof. On the purchase date, the purchase price will become due and payable on each Note accepted for purchase pursuant to the Offer to Purchase, and interest on Notes purchased will cease to accrue on and after the 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Issuers will comply, to the extent applicable, with the requirements of Section 14(e) of the U.S. Exchange Act and any other securities laws or regulations (or rules of any exchange on which the Notes are then listed) in connection with the repurchase of Notes pursuant to this covenant. To the extent that the provisions of any securities laws or regulations (or exchange rules) conflict with the provisions of the Indenture, the Issuers will comply with the applicable securities laws and regulations (or exchange rules) and will not be deemed to have breached their obligations, or require a repurchase of the Notes, under the Change of Control provisions of the Indenture by virtue of the conflict. </w:t>
      </w:r>
    </w:p>
    <w:p>
      <w:pPr>
        <w:pStyle w:val="TextBody"/>
        <w:bidi w:val="0"/>
        <w:spacing w:before="240" w:after="0"/>
        <w:jc w:val="left"/>
        <w:rPr>
          <w:rFonts w:ascii="Times New Roman" w:hAnsi="Times New Roman"/>
          <w:sz w:val="20"/>
        </w:rPr>
      </w:pPr>
      <w:r>
        <w:rPr>
          <w:rFonts w:ascii="Times New Roman" w:hAnsi="Times New Roman"/>
          <w:sz w:val="20"/>
        </w:rPr>
        <w:t xml:space="preserve">The Issuers will not be required to make an Offer to Purchase following a Change of Control Triggering Event with respect to a series of Notes if (i)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(ii) a notice of redemption has been given pursuant to the Indenture as described under Optional Redemption. Notwithstanding anything to the contrary herein, an Offer to Purchase may be made in advance of a Change of Control Triggering Event, conditional upon the occurrence of the applicable Change of Control or the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Other indebtedness to which the Issuers or the Companys Subsidiaries are or may in the future be subject may provide for change of control provisions requiring such indebtedness to be repurchased upon a change of control. See Description of Other Indebtedness elsewhere in this prospectus. If the exercise by the Holders of their right to require the Issuers to repurchase the Notes of a series upon a Change of Control Triggering Event occurred at the same time as a change of control event under one or more of the other debt agreements to which the Issuers or the Companys Subsidiaries are or may in the future be subject to, the Issuers ability to pay cash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upon a repurchase may be further limited by the Issuers then-existing financial resources. See Risk FactorsRisks Related to the NotesWe may not be able to fulfill our repurchase obligations in the event of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There is no precise established definition of the phrase substantially all, as used with respect to the assets of the Issuers in the definition of Change of Control, under applicable law. Accordingly, in certain circumstances there may be a degree of uncertainty as to whether a particular transaction would involve all or substantially all of the property or assets of a Person, in which case a Holders ability to obtain the benefit of these provisions could be unclear. </w:t>
      </w:r>
    </w:p>
    <w:p>
      <w:pPr>
        <w:pStyle w:val="TextBody"/>
        <w:bidi w:val="0"/>
        <w:spacing w:before="240" w:after="0"/>
        <w:jc w:val="left"/>
        <w:rPr>
          <w:rFonts w:ascii="Times New Roman" w:hAnsi="Times New Roman"/>
          <w:sz w:val="20"/>
        </w:rPr>
      </w:pPr>
      <w:r>
        <w:rPr>
          <w:rFonts w:ascii="Times New Roman" w:hAnsi="Times New Roman"/>
          <w:sz w:val="20"/>
        </w:rPr>
        <w:t xml:space="preserve">The Change of Control purchase feature of the Notes may in certain circumstances make more difficult or discourage a sale or takeover of the Company. As of the date hereof,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certain types of additional Indebtedness are contained in the covenants described under Negative CovenantsLimitations on Liens and Negative CovenantsLimitations on Sale and Leaseback Transactions. Such restrictions can be waived only with the consent of the Holders of a majority in principal amount of the Notes of the applicable series then outstanding. Except for the limitations contained in such covenants, however, the Indenture will not contain any covenants or provisions that may afford Holders protection in the event of a highly leveraged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under the Indenture relating to the Issuers obligation to make an offer to repurchase the Notes as a result of a Change of Control Triggering Event may be waived or modified with the written consent of the Holders of a majority in principal amount of the Notes of the applicable series.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Principal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Issuers covenant to pay the principal of and interest on the Notes when due and in the manner that will be provided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Merger and Consolidation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either (x) the Company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Company under the Notes and the Indenture (any such Person under (x) or (y), a </w:t>
            </w:r>
            <w:r>
              <w:rPr>
                <w:rFonts w:ascii="Times New Roman" w:hAnsi="Times New Roman"/>
                <w:i/>
                <w:sz w:val="20"/>
              </w:rPr>
              <w:t>Successor Company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Company (in each case, in form and substance reasonably satisfactory to the Trustee), provided that, in each case, in giving an Opinion of Counsel, counsel may rely on an Officers Certificate as to any matters of fact, including as to the satisfaction of clause (2)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 in clause (3) of the first paragraph above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consolidation with or merger with or into the Company of, or the sale, assignment, conveyance, lease, transfer or other disposition of all or substantially all of the Companys assets to, an Affiliate of the Company, if an Officer or the Companys Board of Directors determines in good faith that the purpose of such transaction is principally to change the Companys jurisdiction of incorporation or convert the Companys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consolidation with or merger with or into the Company of, or the sale, assignment, conveyance, lease, transfer or other disposition of all or substantially all of the Companys assets to, the Parent or a single Wholly Owned Subsidiary of the Company in accordance with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if no supplemental indenture needs to be executed in relation to such transaction, the Company will notify the Trustee of such transaction (but no Officers Certificate or Opinion of Counsel shall need to be delivered to the Trustee in relation thereto). </w:t>
      </w:r>
    </w:p>
    <w:p>
      <w:pPr>
        <w:pStyle w:val="TextBody"/>
        <w:bidi w:val="0"/>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the Companys assets occurs in accordance with the Indenture, the Successor Company (if other than the Company) will succeed to, and be substituted for the Company and may exercise every right and power under the Indenture and the Notes with the same effect as if such Successor Company had been named in the Companys place in the Indenture, and the Company will be released from all its obligations and covenants under the Indenture and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NXP Funding </w:t>
      </w:r>
    </w:p>
    <w:p>
      <w:pPr>
        <w:pStyle w:val="TextBody"/>
        <w:bidi w:val="0"/>
        <w:spacing w:before="120" w:after="0"/>
        <w:jc w:val="left"/>
        <w:rPr>
          <w:rFonts w:ascii="Times New Roman" w:hAnsi="Times New Roman"/>
          <w:sz w:val="20"/>
        </w:rPr>
      </w:pPr>
      <w:r>
        <w:rPr>
          <w:rFonts w:ascii="Times New Roman" w:hAnsi="Times New Roman"/>
          <w:sz w:val="20"/>
        </w:rPr>
        <w:t xml:space="preserve">NXP Funding may not consolidate with, merge with or into any Person or permit any Person to merge with or into NXP Funding unless either (x) NXP Funding will be the surviving Person of any such consolidation or merger or (y) concurrently therewith, a Subsidiary of the Company that is a limited liability company or corporation organized under the laws of the United States of America, any state thereof or the District of Columbia (which may be NXP Funding or the continuing Person as a result of such transaction) expressly assumes all the obligations of NXP Funding under the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any transaction effected in accordance with (y) in the immediately preceding paragraph, the resulting surviving NXP Funding will succeed to, and be substituted for, NXP Funding and may exercise every right and power under the Indenture and the Notes with the same effect as if such successor Person had been named in NXP Fundings place in the Indenture, and NXP Funding will be released from all its obligations and covenants under the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Any such surviving or transferee Person must be a disregarded entity for U.S. federal income tax purposes, which is either a direct Wholly Owned Subsidiary of the Company, or held through one or more Subsidiaries of the Company that are treated as disregarded entities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NXP USA </w:t>
      </w:r>
    </w:p>
    <w:p>
      <w:pPr>
        <w:pStyle w:val="TextBody"/>
        <w:bidi w:val="0"/>
        <w:spacing w:before="120" w:after="0"/>
        <w:jc w:val="left"/>
        <w:rPr>
          <w:rFonts w:ascii="Times New Roman" w:hAnsi="Times New Roman"/>
          <w:sz w:val="20"/>
        </w:rPr>
      </w:pPr>
      <w:r>
        <w:rPr>
          <w:rFonts w:ascii="Times New Roman" w:hAnsi="Times New Roman"/>
          <w:sz w:val="20"/>
        </w:rPr>
        <w:t xml:space="preserve">NXP USA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with or merge with or into any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convey, transfer or dispose of all or substantially all its assets, in one transaction or a series of related transactions, to any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any Person to merge with or into NXP USA,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Person is the Parent, the Company or NXP Funding (or becomes a Subsidiary Guarantor concurrently with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either (x) NXP USA is the continuing Person or (y) the resulting, surviving or transferee Person expressly assumes all of the obligations of NXP USA under the Notes; and (2) immediately after giving effect to the transaction, no Default or Event of Default has occurred and is continuing;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constitutes a sale or other disposition (including by way of consolidation or merger) of NXP USA or the sale or disposition of all or substantially all the assets of NXP USA otherwise permitted by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NXP USAs obligations with respect to a series of Notes will terminate and release: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sale or other disposition (including by way of consolidation or merger) of the Capital Stock of NXP USA or of a Person who holds all of the Capital Stock of NXP USA, such that NXP USA does not remain a Subsidiary, or the sale or disposition of all or substantially all of the assets of NXP USA, in each case, as otherwise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defeasance or discharge of the Notes of such series, as provided in the provisions described under Defeasance and Satisfaction and Discharge;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option of the Issuers, so long as no Event of Default has occurred and is continuing with respect to such series of Notes, once NXP USA is unconditionally released from its liability with respect to (i) the Revolving Credit Agreement and (ii) the Existing Notes.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Guarantor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Parent </w:t>
      </w:r>
    </w:p>
    <w:p>
      <w:pPr>
        <w:pStyle w:val="TextBody"/>
        <w:bidi w:val="0"/>
        <w:spacing w:before="120" w:after="0"/>
        <w:jc w:val="left"/>
        <w:rPr>
          <w:rFonts w:ascii="Times New Roman" w:hAnsi="Times New Roman"/>
          <w:sz w:val="20"/>
        </w:rPr>
      </w:pPr>
      <w:r>
        <w:rPr>
          <w:rFonts w:ascii="Times New Roman" w:hAnsi="Times New Roman"/>
          <w:sz w:val="20"/>
        </w:rPr>
        <w:t xml:space="preserve">The Parent will not consolidate with or merge with or into, or sell, assign, convey, transfer, lease or otherwise dispose of all or substantially all its, assets in one transaction or a series of related transactions, to any Person, or to permit any Person to consolidate with or merge with or into it,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either (x) the Parent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Parent under the Notes and the Indenture (any such Person under (x) or (y), a </w:t>
            </w:r>
            <w:r>
              <w:rPr>
                <w:rFonts w:ascii="Times New Roman" w:hAnsi="Times New Roman"/>
                <w:i/>
                <w:sz w:val="20"/>
              </w:rPr>
              <w:t>Successor Parent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(and treating any Indebtedness that becomes an obligation of the Successor Parent or any Subsidiary of the Successor Parent as a result of such transaction as having been Incurred by the Successor Parent or such Subsidiary at the time of such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Parent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Parent (in each case, in form and substance reasonably satisfactory to the Trustee), provided that, in each case, in giving an Opinion of Counsel, counsel may rely on an Officers Certificate as to any matters of fact, including as to the satisfaction of clause (2)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 in clause (3) of the first paragraph above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consolidation with or merger with or into the Parent of, or the sale, assignment, conveyance, lease, transfer or other disposition of all or substantially all of the Parents assets to, an Affiliate of the Parent, if an Officer or the Parents Board of Directors determines in good faith that the purpose of such transaction is principally to change the Parents jurisdiction of incorporation or convert the Parents form of organization to another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consolidation with or merger with or into the Parent of, or the sale, assignment, conveyance, lease, transfer or other disposition of all or substantially all the Parents assets to, a single Wholly Owned Subsidiary of the Parent, including, but not limited to, the Company, in accordance with applicable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consolidation with or merger with or into the Parent, or the sale, assignment, conveyance, lease, transfer or other disposition of all or substantially all the Parents assets, if (i) an Officer or the Parents Board of Directors determines in good faith that the purpose of such transaction is principally to change the Parents jurisdiction of incorporation, (ii) such transaction does not constitute a Change of Control, (iii) such transaction complies with clauses (1) and (2) in the first paragraph above, and (iv) a Successor Parent expressly assumes, by supplemental indenture, executed and delivered to the Trustee, in form reasonably satisfactory to the Trustee, all the obligations of the Parent under the Notes and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if no supplemental indenture needs to be executed in relation to such transaction, the Parent will notify the Trustee of such transaction (but no Officers Certificate or Opinion of Counsel shall need to be delivered to the Trustee in relation thereto). </w:t>
      </w:r>
    </w:p>
    <w:p>
      <w:pPr>
        <w:pStyle w:val="TextBody"/>
        <w:bidi w:val="0"/>
        <w:spacing w:before="240" w:after="0"/>
        <w:jc w:val="left"/>
        <w:rPr>
          <w:rFonts w:ascii="Times New Roman" w:hAnsi="Times New Roman"/>
          <w:sz w:val="20"/>
        </w:rPr>
      </w:pPr>
      <w:r>
        <w:rPr>
          <w:rFonts w:ascii="Times New Roman" w:hAnsi="Times New Roman"/>
          <w:sz w:val="20"/>
        </w:rPr>
        <w:t xml:space="preserve">Further, whether or not a merger or any sale, assignment, conveyance, lease, transfer or other disposition of all or substantially all of the Parents assets occurs, the Parent may effect a transaction or series of related transactions that is principally to change the Parents jurisdiction of incorporation and any successor entity in such transaction shall be substituted for the Parent, so long as such transaction does not constitute a Change of Control and such transaction complies with clauses (1) and (2) in the first paragraph above and (i)-(iv) in paragraph (C) above. </w:t>
      </w:r>
    </w:p>
    <w:p>
      <w:pPr>
        <w:pStyle w:val="TextBody"/>
        <w:bidi w:val="0"/>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the Parents assets or change of jurisdiction transaction as described in the immediately preceding paragraph occurs in accordance with the Indenture, the Successor Parent (if other than the Parent) will succeed to, and be substituted for the Parent and may exercise every right and power under the Indenture and the Notes with the same effect as if such Successor Parent had been named in the Parents place in the Indenture, and the Parent will be released from all its obligations and covenants under the Indenture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Negative 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covenants set forth above, the following additional covenants shall apply to the Notes. These covenants do not limit the Issuers ability to Incur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so long as any Notes of a series are outstanding, the Company and NXP Funding will not, and will not permit any Significant Subsidiary to, issue or assume any Indebtedness if such Indebtedness is secured by a Lien, other than a Permitted Lien, upon any Principal Property of the Company and NXP Funding or any Significant Subsidiary without: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same time providing that the Notes of such series and the obligations under the Indenture with respect to such series are directly, equally and ratably secured with (or prior to, in the case of Liens with respect to Subordinated Indebtedness) the Indebtedness secured by such Lien for so long as such Indebtedness is so secured;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such other Lien for the Notes of such series and the obligations under the Indenture as may be approved by a majority in aggregate principal amount of Holders of Notes of such series.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so long as any Notes of a series thereunder are outstanding, the Company and NXP Funding will not, and will not permit any Significant Subsidiary to, enter into any Sale and Leaseback Transaction with respect to any Principal Property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such Significant Subsidiary would be entitled to incur Indebtedness secured by a Lien on the property to be leased in an amount equal to the Attributable Liens with respect to such Sale and Leaseback Transaction without equally and ratably securing the Notes of such series pursuant to the covenant Negative CovenantsLimitations on Liens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of the sale of the Principal Property to be leased are applied within 365 days of the effective date of the Sale and Leaseback Transaction to (i) the purchase, construction, development or acquisition of another Principal Property or (ii) the repayment of (x) any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of the Company and NXP Funding that ranks equally with, or is senior to, the Notes or (z) any Indebtedness of one or more Significant Subsidiaries; provided, in each case, that in lieu of applying such amount to such retirement, we may deliver Notes to the Trustee for cancellation, such Notes to be credited at the cost thereof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Sale and Leaseback Transaction was entered into prior to the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Sale and Leaseback Transaction involves a lease for not more than three years (or which may be terminated by the Company or a Significant Subsidiary within a period of not more than three years);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Sale and Leaseback Transaction with respect to any Principal Property was between only the Parent and a Subsidiary of the Parent or only between Subsidiaries of the Parent.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will be an Event of Default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any payment of interest or Additional Amounts, if any, on any applicable Note when due and payable, if that default continues for a period of 30 days, or failure to comply for 30 days with the notice provisions in connection with a Change of Control Triggering Event after such notice has become due;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amount of, or premium, if any, on any Note issued under the Indenture when due at its Stated Maturity or upon optional redemption or otherwise (including the failure to pay the repurchase price for such Notes tendered pursuant to an Offer to Purchase), if that default or failure continues for a period of two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for 90 days after written notice by the Trustee on behalf of the Holders or by the Holders of 30% in aggregate principal amount of the outstanding Notes of an applicable series with any of the Issuers or the Parents obligations under the covenants described under Certain Covenants above (in each case, other than an Event of Default as described in clause (1) or (2)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under any mortgage, indenture or instrument under which there may be issued or by which there may be secured or evidenced any Indebtedness for money borrowed by the Company or NXP Funding or a Significant Subsidiary (or the payment of which is Guaranteed by the Company, NXP Funding or a Significant Subsidiary) other than Indebtedness owed to any of the Parent, the Company, NXP Funding or a Significant Subsidiary, whether such Indebtedness or Guarantee now exists, or is created after the date 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is caused by a failure to pay principal at the Stated Maturity on such Indebtedness, immediately upon the expiration of the grace period provided in such Indebtedness (</w:t>
            </w:r>
            <w:r>
              <w:rPr>
                <w:rFonts w:ascii="Times New Roman" w:hAnsi="Times New Roman"/>
                <w:i/>
                <w:sz w:val="20"/>
              </w:rPr>
              <w:t>payment default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the acceleration of such Indebtedness prior to its express maturity not rescinded or cured within 30 days after such acceleration (the cross acceleration provision),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in each case, the aggregate principal amount of any such Indebtedness, together with the aggregate principal amount of any other such Indebtedness under which there has been a payment default or the maturity of which has been so accelerated and remains undischarged after such 30-day period, aggregates to 200 million or more;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court protection of any of the Parent, the Company, NXP Funding or a Significant Subsidiary (the bankruptcy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any of the Parent, the Company, NXP Funding or a Significant Subsidiary to pay final judgments aggregating in excess of 200 million (exclusive of any amounts that a solvent insurance company has acknowledged liability for), which judgments are not paid, discharged or stayed for a period of 60 days after the judgment becomes final and non-appealable (the judgment default provision);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 ceases to be in full force and effect, other than in accordance with the terms of the Indenture or the Parent denies or disaffirms in writing its obligations under its Guarantee, other than in accordance with the terms thereof or upon release of the Guarantee in accordance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 default under clauses (3), (4) or (6) of this paragraph will not constitute an Event of Default with respect to a series of Notes until the Trustee or the Holders of 30% in aggregate principal amount of the outstanding Notes of such series notify the Issuers and the Trustee (as applicable) of the default and, with respect to clauses (3), (4), and (6) the Issuers do not cure such default within the time specified in clauses (3), (4) or (6), as applicable, of this paragraph after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described in clause (5) above) occurs and is continuing, the Trustee by notice to any Issuer or the Holders of a series of Notes of at least 30% in principal aggregate amount of the outstanding Notes of the applicable series of Notes by written notice to any Issuer and the Trustee, may, and the Trustee at the request of such Holders shall, declare the principal of, premium, if any, and accrued and unpaid interest, including Additional Amounts, if any, on all the Notes of such series to be due and payable. Upon such a declaration, such principal, premium and accrued and unpaid interest, including Additional Amounts, if any, will be due and payable immediately. In the event of a declaration of acceleration of the Notes of such series because an Event of Default described in clause (4) under Events of Default has occurred and is continuing, the declaration of acceleration of such Notes shall be automatically annulled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event of default or payment default triggering such Event of Default pursuant to clause (4)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such Notes would not conflict with any judgment or decree of a court of competent jurisdiction and (2) all existing Events of Default, except nonpayment of principal, premium or interest, including Additional Amounts, if any, on such Notes that became due solely because of the acceleration of such Notes,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in clause (5) above occurs and is continuing, the principal of, premium, if any, and accrued and unpaid interest, including Additional Amounts, if any, on all the Notes of a series of Notes will become and be immediately due and payable without any declaration or other act on the part of the Trustee or any Holders.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Notes of a series of Notes under the Indenture may waive all past or existing Defaults or Events of Default (except with respect to nonpayment of principal, premium or interest, or Additional Amounts, if any) and rescind any such acceleration with respect to such Notes and its consequences if rescission would not conflict with any judgment or decree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to the Trustee indemnity or security reasonably satisfactory to the Trustee against any loss, liability or expense. Except to enforce the right to receive payment of principal or interest when due, no Holder may pursue any remedy with respect to the Indenture or the Notes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has previously given the Trustee written notice that an Event of Default is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at least 30% in aggregate principal amount of the outstanding Notes of the applicable series have requested in writing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in writing the Trustee reasonable security or indemnity satisfactory to the Trustee against any loss,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complied with such request within 60 days after the receipt of the written request and the offer of security or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outstanding Notes of the applicable series have not given the Trustee a written direction that, in the opinion of the Trustee, is inconsistent with such request within such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restrictions, the Holders of a majority in aggregate principal amount of the outstanding Notes of a series of Notes are given the right to direct the time, method and place of conducting any proceeding for any remedy available to the Trustee or to exercise any trust or power conferred on the Trustee. The Indenture will provide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reasonably satisfactory to it against all losses and expenses caused by taking or not taking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if a Default or Event of Default with respect to a series of Notes occurs and is continuing and the Trustee is informed of such occurrence by any Issuer, the Trustee must give notice of the Default or Event of Default to the Holders of the applicable series within 60 days after being notified by any Issuer. Except in the case of a Default or Event of Default in the payment of principal of, or premium, if 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on any Note of an applicable series, the Trustee may withhold notice if and so long as a committee of trust officers of the Trustee in good faith determines that withholding notice is in the interests of the Holders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are required to deliver to the Trustee, within 120 days after the end of each fiscal year, an Officers Certificate indicating whether the signers thereof know of any Default that occurred during the previous year. The Issuers are required to deliver to the Trustee, within 30 days after the occurrence thereof, written notice of any events of which it is aware which would constitute certain Defaults, their status and what action the Issuer is taking or proposes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provide for the Trustee to take action on behalf of the Holders in certain circumstances, but only if the Trustee is indemnified to its satisfaction. It may not be possible for the Trustee to take certain actions in relation to the Notes and, accordingly, in such circumstances the Trustee will be unable to take action, notwithstanding the provision of an indemnity to it, and it will be for Holders to take action directly.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Note Documents with respect to a series of Notes may be amended, supplemented or otherwise modified with the consent of the Holders of a majority in aggregate principal amount of the Notes of such series then outstanding (including consents obtained in connection with a purchase of, or tender offer or exchange offer for, such Notes) and, subject to certain exceptions, any default or compliance with any provisions thereof may be waived with the consent of the Holders of a majority in aggregate principal amount of the Notes of such series then outstanding (including consents obtained in connection with a purchase of, or tender offer or exchange offer for, such Notes). However, without the consent of Holders holding not less than 100% (or, in the case of clauses (7) and (10), 90%, and in the case of clause (8), 75%) of the then outstanding aggregate principal amount of the applicable series of Notes, an amendment or waiver may not, with respect to any such Notes held by a non-consenting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such Notes whose Holders must consent to an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stated rate of or extend the stated time for payment of interest on any such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extend the Stated Maturity of any such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premium payable upon the redemption of any such Note or change the time at which any such Note may be redeemed, in each case as described above under Optional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such Note payable in money other than that stated in such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and interest on such Holders Notes on or after the due dates therefor or to institute suit for the enforcement of any such payment on or with respect to such Holders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 provision of the Indenture described under Withholding Taxes that adversely affects the right of any Holder of Notes in any material respect or amend the terms of such Notes in a way that would result in a loss of an exemption from any of the Taxes described thereunder or an exemption from any obligation to withhold or deduct Taxes so described thereunder unless the Payor agrees to pay Additional Amounts, if any,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 NXP USA from all obligations with respect to the Notes, other than pursuant to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or Event of Default with respect to the nonpayment of principal, premium or interest (except pursuant to a rescission of acceleration of the Notes by the Holders of at least a majority in aggregate principal amount of the applicable series of Notes and a waiver of the payment default that resulted from such acceleration);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 amendment or waiver provisions which require the Holders consent described in this sentence.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without the consent of any Holder, the Issuers, the Trustee and the other parties thereto, as applicable, may amend or supplement any Note Documents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omission, defect, error or inconsistency, conform any provision to this Description of the Notes and the Note Guarantee, or reduce the minimum denomination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by a Successor Company or a Successor Parent of the obligations of the Issuers under any Note Document,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Notes in addition to or in place of certificated Notes (provided that the uncertificated Notes are issued in registered form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the covenants or provide for a Guarantee for the benefit of the Holders or surrender any right or power conferred upon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Issuers election, comply with any requirement of the SEC in connection with the qualification of the Indenture under the Trust Indenture Act, if such qualification is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such provisions as are necessary (as determined by an Officer or the Board of Directors in good faith) for the issuance of Additional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Guarantees with respect to the Notes, or to confirm and evidence the release, termination, discharge or retaking of any Guarantee or NXP USA with respect to the Notes when such release, termination, discharge or retaking is provided for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by a Successor Parent of the obligations of the Parent under the Note Guarantee, as permitted by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and appointment under the Indenture of a successor Trustee pursuant to the requirements thereof or to provide for the accession by the Trustee to any Note Document.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consent of the Holders is not necessary under the Indenture to approve the particular form of any proposed amendment of any Note Document. It is sufficient if such consent approves the substance of the proposed amendment. A consent to any amendment or waiver under the Indenture by any Holder of Notes given in connection with a tender of such Holders Notes will not be rendered invalid by such tender. </w:t>
      </w:r>
    </w:p>
    <w:p>
      <w:pPr>
        <w:pStyle w:val="TextBody"/>
        <w:bidi w:val="0"/>
        <w:spacing w:before="360" w:after="0"/>
        <w:jc w:val="left"/>
        <w:rPr>
          <w:rFonts w:ascii="Times New Roman" w:hAnsi="Times New Roman"/>
          <w:b/>
          <w:sz w:val="20"/>
        </w:rPr>
      </w:pPr>
      <w:r>
        <w:rPr>
          <w:rFonts w:ascii="Times New Roman" w:hAnsi="Times New Roman"/>
          <w:b/>
          <w:sz w:val="20"/>
        </w:rPr>
        <w:t xml:space="preserve">Acts by Holders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aggregate principal amount of the Notes have concurred in any direction, waiver or consent, the Notes owned by the Issuers or by any Person directly or indirectly controlled, or controlled by, or under direct or indirect common control with, the Issuers will be disregarded and deemed not to be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Any Issuer at any time may terminate all obligations of the Issuers and the Parent with respect to a series of Notes and the Indenture (legal defeasance) and cure all then existing Defaults and Events of Default with respect to such series of Notes, except for certain obligations, including those respecting the defeasance trust, the rights, powers, trusts, duties, immunities and indemnities of the Trustee and the obligations of the Issuers in connection therewith and obligations concerning issuing temporary Notes, registrations of Notes, mutilated, destroyed, lost or stolen Notes and the maintenance of an office or agency for payment and money for security payments held in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Issuers at any time may terminate their obligations with respect to such series of Notes under the covenants described under Certain Covenants (other than clauses (1) and (2) of the first paragraph of the covenant described under Certain CovenantsMerger and Consolidation) and Repurchase of Notes upon a Change of Control Triggering Event and the default provisions relating to such covenants described under Events of Default above, the operation of the cross-default upon a payment default, the cross acceleration provisions, the bankruptcy provisions with respect to the Issuers and Significant Subsidiaries, the judgment default provision and the guarantee provision described under Events of Default above (</w:t>
      </w:r>
      <w:r>
        <w:rPr>
          <w:rFonts w:ascii="Times New Roman" w:hAnsi="Times New Roman"/>
          <w:i/>
          <w:sz w:val="20"/>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Issuers at their option at any time may exercise their legal defeasance option with respect to such series of Notes notwithstanding their prior exercise of their covenant defeasance option. If the Issuers exercise their legal defeasance option, payment of the Notes of a series may not be accelerated because of an Event of Default with respect to the Notes of such series. If the Issuers exercise their covenant defeasance option with respect to the Notes of a series, payment of the Notes of such series may not be accelerated because of an Event of Default specified in clause (3) (other than clauses (1) and (2) of the first paragraph of the covenant described under Certain CovenantsMerger and Consolidation), (4) or (5) (with respect only to the Issuers and Significant Subsidiaries) or (6) or (7) under the provision described under Events of Default above with respect to such series of Notes. </w:t>
      </w:r>
    </w:p>
    <w:p>
      <w:pPr>
        <w:pStyle w:val="TextBody"/>
        <w:bidi w:val="0"/>
        <w:spacing w:before="240" w:after="0"/>
        <w:jc w:val="left"/>
        <w:rPr>
          <w:rFonts w:ascii="Times New Roman" w:hAnsi="Times New Roman"/>
          <w:sz w:val="20"/>
        </w:rPr>
      </w:pPr>
      <w:r>
        <w:rPr>
          <w:rFonts w:ascii="Times New Roman" w:hAnsi="Times New Roman"/>
          <w:sz w:val="20"/>
        </w:rPr>
        <w:t>In order to exercise either defeasance option with respect to such series of Notes, the Issuers must irrevocably deposit in trust (the </w:t>
      </w:r>
      <w:r>
        <w:rPr>
          <w:rFonts w:ascii="Times New Roman" w:hAnsi="Times New Roman"/>
          <w:i/>
          <w:sz w:val="20"/>
        </w:rPr>
        <w:t>defeasance trust</w:t>
      </w:r>
      <w:r>
        <w:rPr>
          <w:rFonts w:ascii="Times New Roman" w:hAnsi="Times New Roman"/>
          <w:sz w:val="20"/>
        </w:rPr>
        <w:t xml:space="preserve">) with the Trustee (or such entity designated by the Trustee for this purpose) cash in dollars or U.S. Government Obligations or a combination thereof for the payment of principal, premium, if any, and interest on the Notes of such series to redemption or maturity, as the case may be, and must comply with certain other conditions, including delivery to the Trustee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an Opinion of Counsel in the United States to the effect that, subject to customary assumptions and exclusions, the beneficial owners of the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Such Opinion of Counsel in the United States must be based on a ruling of the U.S. Internal Revenue Service or a change in applicable U.S. federal income tax law that is issued or becomes effective after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an Opinion of Counsel in the United States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 and in the same manner and at the same times as would have been the case if such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stating that the deposit was not made by the Issuers with the intent of defeating, hindering, delaying, defrauding or preferring any creditors of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of Counsel to the effect that the trust resulting from the deposit does not constitute, or is qualified as, a regulated investment company under the U.S. Investment Company Act of 1940,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Issuers deliver to the Trustee all other documents or other information that the Trustee may reasonably require in connection with either defeasance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cease to be of further effect (except as to surviving rights of conversion or transfer or exchange of the Notes, as expressly provided for in the Indenture) as to all outstanding Notes of a series when (1) either (a) all the Notes of such series previously authenticated and delivered (other than certain lost, stolen or destroyed Notes and certain Notes for which provision for payment was previously made and thereafter the funds have been released to the Issuers) have been delivered to the Trustee for cancellation; or (b) all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Issuers; (2) the Issuers have deposited or caused to be deposited with the Trustee (or such entity designated by the Trustee for this purpose), money or U.S. Government Obligations, or a combination thereof, as applicable, in an amount sufficient to pay and discharge the entire Indebtedness on the Notes of such series not previously delivered to the Trustee for cancellation, for principal, premium, if any, and interest to the date of deposit (in the case of Notes that have become due and payable), or to the Stated Maturity or redemption date, as the case may be; (3) the Issuers have paid or caused to be paid all other sums payable under the Indenture with respect to the Notes of such series; and (4) the Issuers have delivered to the Trustee an Officers Certificate and an Opinion of Counsel each to the effect that all conditions precedent under the Indenture relating to the satisfaction and discharge of the Indenture have been complied with, provided that any such counsel may rely on any Officers Certificate as to matters of fact (including as to compliance with the foregoing clauses (1), (2) and (3)).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 director, officer, employee, incorporator or shareholder of any of the Parent, any Issuer or any of their respective Subsidiaries or Affiliates, as such, shall have any liability for any obligations of any Issuer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and Certain Agents </w:t>
      </w:r>
    </w:p>
    <w:p>
      <w:pPr>
        <w:pStyle w:val="TextBody"/>
        <w:bidi w:val="0"/>
        <w:spacing w:before="120" w:after="0"/>
        <w:jc w:val="left"/>
        <w:rPr>
          <w:rFonts w:ascii="Times New Roman" w:hAnsi="Times New Roman"/>
          <w:sz w:val="20"/>
        </w:rPr>
      </w:pPr>
      <w:r>
        <w:rPr>
          <w:rFonts w:ascii="Times New Roman" w:hAnsi="Times New Roman"/>
          <w:sz w:val="20"/>
        </w:rPr>
        <w:t xml:space="preserve">Deutsche Bank Trust Company Americas is to be appointed as Trustee under the Indenture. The Indenture will provide that, except during the continuance of an Event of Default, the Trustee will perform only such duties as are set forth specifically in such Indenture. During the existence of an Event of Default, the Trustee will exercise such of the rights and powers vested in it under the Indenture and use the same degree of care that a prudent Person would use in conducting its own affairs. The permissive rights of the Trustee to take or refrain from taking any action enumerated in the Indenture will not be construed as an obligation or duty.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impose certain limitations on the rights of the Trustee, should it become a creditor of any Issuer, to obtain payment of claims in certain cases, or to realize on certain property received in respect of any such claim as security or otherwise. The Trustee will be permitted to engage in other transactions with any Issuer and its Affiliates and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set out the terms under which the Trustee may retire or be removed, and replaced. Such terms will include, among others, (1) that the Trustee may be removed at any time by the Holders of a majority in principal amount of the then outstanding Notes, or may resign at any time by giving written notice to the Issuers and (2) that if the Trustee at any time (a) has or acquires a conflict of interest that is not eliminated, (b) fails to meet certain minimum limits regarding the aggregate of its capital and surplus or (c) becomes incapable of acting as Trustee or becomes insolvent or bankrupt, then the Issuer may remove the Trustee, or any Holder who has been a bona fide Holder for not less than 6 months may petition any court for removal of the Trustee and appointment of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removal or resignation of the Trustee shall not become effective until the acceptance of appointment by the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contain provisions for the indemnification of the Trustee for any loss, liability, taxes and expenses incurred without negligence or willful misconduct on its part, arising out of or in connection with the acceptance or administration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All notices to Holders will be validly given if mailed to them at their respective addresses in the register of the Holders, if any, maintained by the Registrar. For so long as any Notes are represented by Global Notes, all notices to Holders of the Notes will be delivered to DTC, delivery of which shall be deemed to satisfy the requirements of this paragraph, each of which will give such notices to the holders of Book-Entry Interests.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shall be deemed to have been given on the date of such publication or, if published more than once on different dates, on the first date on which publication is made; provided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such Holder if so mailed within the time prescribed. Failure to mail, cause to be delivered or otherwise transmit a notice or communication to a Holder or any defect in it shall not affect its sufficiency with respect to other Holders. If a notice or communication is mailed in the manner provided above, it is duly given, whether or not the addressee receives it. </w:t>
      </w:r>
    </w:p>
    <w:p>
      <w:pPr>
        <w:pStyle w:val="TextBody"/>
        <w:bidi w:val="0"/>
        <w:spacing w:before="360" w:after="0"/>
        <w:jc w:val="left"/>
        <w:rPr>
          <w:rFonts w:ascii="Times New Roman" w:hAnsi="Times New Roman"/>
          <w:b/>
          <w:sz w:val="20"/>
        </w:rPr>
      </w:pPr>
      <w:r>
        <w:rPr>
          <w:rFonts w:ascii="Times New Roman" w:hAnsi="Times New Roman"/>
          <w:b/>
          <w:sz w:val="20"/>
        </w:rPr>
        <w:t xml:space="preserve">Currency Indemnity and Calculation of Dollar-Denominated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dollar is the sole currency of account and payment for all sums payable by the Issuers under or in connection with the Notes including damages. Any amount received or recovered in a currency other than the dollar, whether as a result of, or the enforcement of, a judgment or order of a court of any jurisdiction, in the winding-up or dissolution of the Issuers or otherwise by any Holder or by the Trustee, in respect of any sum expressed to be due to it from the Issuers will only constitute a discharge to the Issuers to the extent of the dollar amount, which the recipient is able to purchase with the amount so received or recovered in that other currency on the date of that receipt or recovery (or, if it is not practicable to make that purchase on that date, on the first date on which it is practicable to do so). </w:t>
      </w:r>
    </w:p>
    <w:p>
      <w:pPr>
        <w:pStyle w:val="TextBody"/>
        <w:bidi w:val="0"/>
        <w:spacing w:before="240" w:after="0"/>
        <w:jc w:val="left"/>
        <w:rPr>
          <w:rFonts w:ascii="Times New Roman" w:hAnsi="Times New Roman"/>
          <w:sz w:val="20"/>
        </w:rPr>
      </w:pPr>
      <w:r>
        <w:rPr>
          <w:rFonts w:ascii="Times New Roman" w:hAnsi="Times New Roman"/>
          <w:sz w:val="20"/>
        </w:rPr>
        <w:t xml:space="preserve">If that dollar amount is less than the dollar amount expressed to be due to the recipient or the Trustee under any Note, the Issuers will indemnify them against any loss sustained by such recipient or the Trustee as a result. In any event, the Issuers will indemnify the recipient or the Trustee against the cost of making any such purchase. For the purposes of this currency indemnity provision, it will be prima facie evidence of the matter stated therein for the Holder of a Note or the Trustee to certify in a manner satisfactory to the Issuers (indicating the sources of information used) the loss it Incurred in making any such purchase. These indemnities constitute a separate and independent obligation from the Issuers other obligations, will give rise to a separate and independent cause of action, will apply irrespective of any waiver granted by any Holder of a Note or the Trustee (other than a waiver of the indemnities set out herein) and will continue in full force and effect despite any other judgment, order, claim or proof for a liquidated amount in respect of any sum due under any Note or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specifically set forth herein, for purposes of determining compliance with any dollar-denominated restriction herein, the Dollar Equivalent amount for purposes hereof that is denominated in a non-dollar currency shall be calculated based on the relevant currency exchange rate in effect on the date such non-dollar amount is Incurred or made,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Judgments </w:t>
      </w:r>
    </w:p>
    <w:p>
      <w:pPr>
        <w:pStyle w:val="TextBody"/>
        <w:bidi w:val="0"/>
        <w:spacing w:before="120" w:after="0"/>
        <w:jc w:val="left"/>
        <w:rPr>
          <w:rFonts w:ascii="Times New Roman" w:hAnsi="Times New Roman"/>
          <w:sz w:val="20"/>
        </w:rPr>
      </w:pPr>
      <w:r>
        <w:rPr>
          <w:rFonts w:ascii="Times New Roman" w:hAnsi="Times New Roman"/>
          <w:sz w:val="20"/>
        </w:rPr>
        <w:t xml:space="preserve">Since a substantial portion of the assets of the Issuers are held by Subsidiaries located outside the United States, any judgment obtained in the United States against any Issuer, including judgments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principal, premium, if any, interest, Additional Amounts, if any, and any redemption price and any purchase price with respect to the Notes, may not be collectable within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Consent to Jurisdiction and Service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any legal action or proceedings arising out of or in connection with the Indenture and the Notes, the Issuers will in the Indenture irrevocably submit to the jurisdiction of the federal and state courts in the Borough of Manhattan in the City of New York, County and State of New York,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including the Note Guarantee thereunder, and the rights and duties of the parties thereunder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Attributable Liens</w:t>
      </w:r>
      <w:r>
        <w:rPr>
          <w:rFonts w:ascii="Times New Roman" w:hAnsi="Times New Roman"/>
          <w:sz w:val="20"/>
        </w:rPr>
        <w:t xml:space="preserve"> means, in connection with any Sale and Leaseback Transaction, the lesser of (i) the fair market value of the assets subject to such Sale and Leaseback Transaction, as determined by an Officer or the Board of Directors in good faith, and (ii) the present value (discounted at a rate per annum equal to the average interest payable under the Notes under the Indenture compounded semi-annually) of the obligations of the lessee for rental payments during the term of the related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Below Investment Grade Rating Event</w:t>
      </w:r>
      <w:r>
        <w:rPr>
          <w:rFonts w:ascii="Times New Roman" w:hAnsi="Times New Roman"/>
          <w:sz w:val="20"/>
        </w:rPr>
        <w:t xml:space="preserve"> means, with respect to the Notes of a series, the rating on such series of Notes is lowered in respect of a Change of Control and such series of Notes is rated below an Investment Grade Rating by two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Parent or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Parent or the Company shall request the Rating Agencies to make such confirmation in connection with any Change of Control and shall promptly certify to the Trustee as to whether or not such confirmation has been received or denied.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(1) with respect to the Parent,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deemed to have been taken or made if approved by a majority of the directors (excluding employee representatives, if any) on any such board of directors (whether or not such action or approval is taken as part of a formal board meeting or as a formal board approval).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Business Day</w:t>
      </w:r>
      <w:r>
        <w:rPr>
          <w:rFonts w:ascii="Times New Roman" w:hAnsi="Times New Roman"/>
          <w:sz w:val="20"/>
        </w:rPr>
        <w:t xml:space="preserve"> means each Monday, Tuesday, Wednesday, Thursday and Friday which is not a day on which banking institutions in the place or places where the principal of and premium, if any, and interest on the Notes of that series are payable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Capital Stock</w:t>
      </w:r>
      <w:r>
        <w:rPr>
          <w:rFonts w:ascii="Times New Roman" w:hAnsi="Times New Roman"/>
          <w:sz w:val="20"/>
        </w:rPr>
        <w:t xml:space="preserve"> of any Person means any and all shares of, rights to purchase, warrants or options for, or other equivalents of or partnership or other interests in (however designated), equity of such Person, including any Preferred Stock, but excluding any debt securities convertible into such equity.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Change of Control</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resulting in any </w:t>
            </w:r>
            <w:r>
              <w:rPr>
                <w:rFonts w:ascii="Times New Roman" w:hAnsi="Times New Roman"/>
                <w:i/>
                <w:sz w:val="20"/>
              </w:rPr>
              <w:t></w:t>
            </w:r>
            <w:r>
              <w:rPr>
                <w:rFonts w:ascii="Times New Roman" w:hAnsi="Times New Roman"/>
                <w:sz w:val="20"/>
              </w:rPr>
              <w:t>person</w:t>
            </w:r>
            <w:r>
              <w:rPr>
                <w:rFonts w:ascii="Times New Roman" w:hAnsi="Times New Roman"/>
                <w:i/>
                <w:sz w:val="20"/>
              </w:rPr>
              <w:t xml:space="preserve"> </w:t>
            </w:r>
            <w:r>
              <w:rPr>
                <w:rFonts w:ascii="Times New Roman" w:hAnsi="Times New Roman"/>
                <w:sz w:val="20"/>
              </w:rPr>
              <w:t xml:space="preserve">or </w:t>
            </w:r>
            <w:r>
              <w:rPr>
                <w:rFonts w:ascii="Times New Roman" w:hAnsi="Times New Roman"/>
                <w:i/>
                <w:sz w:val="20"/>
              </w:rPr>
              <w:t></w:t>
            </w:r>
            <w:r>
              <w:rPr>
                <w:rFonts w:ascii="Times New Roman" w:hAnsi="Times New Roman"/>
                <w:sz w:val="20"/>
              </w:rPr>
              <w:t>group</w:t>
            </w:r>
            <w:r>
              <w:rPr>
                <w:rFonts w:ascii="Times New Roman" w:hAnsi="Times New Roman"/>
                <w:i/>
                <w:sz w:val="20"/>
              </w:rPr>
              <w:t xml:space="preserve"> </w:t>
            </w:r>
            <w:r>
              <w:rPr>
                <w:rFonts w:ascii="Times New Roman" w:hAnsi="Times New Roman"/>
                <w:sz w:val="20"/>
              </w:rPr>
              <w:t xml:space="preserve">of related persons (as such terms are used in Sections 13(d) and 14(d) of the U.S. Exchange Act) becoming the </w:t>
            </w:r>
            <w:r>
              <w:rPr>
                <w:rFonts w:ascii="Times New Roman" w:hAnsi="Times New Roman"/>
                <w:i/>
                <w:sz w:val="20"/>
              </w:rPr>
              <w:t></w:t>
            </w:r>
            <w:r>
              <w:rPr>
                <w:rFonts w:ascii="Times New Roman" w:hAnsi="Times New Roman"/>
                <w:sz w:val="20"/>
              </w:rPr>
              <w:t>beneficial owner</w:t>
            </w:r>
            <w:r>
              <w:rPr>
                <w:rFonts w:ascii="Times New Roman" w:hAnsi="Times New Roman"/>
                <w:i/>
                <w:sz w:val="20"/>
              </w:rPr>
              <w:t xml:space="preserve"> </w:t>
            </w:r>
            <w:r>
              <w:rPr>
                <w:rFonts w:ascii="Times New Roman" w:hAnsi="Times New Roman"/>
                <w:sz w:val="20"/>
              </w:rPr>
              <w:t>(as such term is used in Rules 13d-3 and 13d-5 under the U.S. Exchange Act) of more than 50% of the Voting Stock of the Company (or its successor); provided, however, that a transaction will not be deemed to involve a Change of Control under this clause (1) if (x) the Company becomes a direct or indirect wholly owned subsidiary of a holding company (including the Parent) and (y)(i) the direct or indirect holders of the Voting Stock of such holding company (including the Parent) immediately following that transaction are substantially the same as the holders of the Company</w:t>
            </w:r>
            <w:r>
              <w:rPr>
                <w:rFonts w:ascii="Times New Roman" w:hAnsi="Times New Roman"/>
                <w:i/>
                <w:sz w:val="20"/>
              </w:rPr>
              <w:t></w:t>
            </w:r>
            <w:r>
              <w:rPr>
                <w:rFonts w:ascii="Times New Roman" w:hAnsi="Times New Roman"/>
                <w:sz w:val="20"/>
              </w:rPr>
              <w:t xml:space="preserve">s Voting Stock immediately prior to that transaction or (ii) immediately following that transaction no </w:t>
            </w:r>
            <w:r>
              <w:rPr>
                <w:rFonts w:ascii="Times New Roman" w:hAnsi="Times New Roman"/>
                <w:i/>
                <w:sz w:val="20"/>
              </w:rPr>
              <w:t></w:t>
            </w:r>
            <w:r>
              <w:rPr>
                <w:rFonts w:ascii="Times New Roman" w:hAnsi="Times New Roman"/>
                <w:sz w:val="20"/>
              </w:rPr>
              <w:t>person</w:t>
            </w:r>
            <w:r>
              <w:rPr>
                <w:rFonts w:ascii="Times New Roman" w:hAnsi="Times New Roman"/>
                <w:i/>
                <w:sz w:val="20"/>
              </w:rPr>
              <w:t xml:space="preserve"> </w:t>
            </w:r>
            <w:r>
              <w:rPr>
                <w:rFonts w:ascii="Times New Roman" w:hAnsi="Times New Roman"/>
                <w:sz w:val="20"/>
              </w:rPr>
              <w:t xml:space="preserve">or </w:t>
            </w:r>
            <w:r>
              <w:rPr>
                <w:rFonts w:ascii="Times New Roman" w:hAnsi="Times New Roman"/>
                <w:i/>
                <w:sz w:val="20"/>
              </w:rPr>
              <w:t></w:t>
            </w:r>
            <w:r>
              <w:rPr>
                <w:rFonts w:ascii="Times New Roman" w:hAnsi="Times New Roman"/>
                <w:sz w:val="20"/>
              </w:rPr>
              <w:t>group</w:t>
            </w:r>
            <w:r>
              <w:rPr>
                <w:rFonts w:ascii="Times New Roman" w:hAnsi="Times New Roman"/>
                <w:i/>
                <w:sz w:val="20"/>
              </w:rPr>
              <w:t xml:space="preserve"> </w:t>
            </w:r>
            <w:r>
              <w:rPr>
                <w:rFonts w:ascii="Times New Roman" w:hAnsi="Times New Roman"/>
                <w:sz w:val="20"/>
              </w:rPr>
              <w:t xml:space="preserve">of related persons (other than a holding company (including the Parent) satisfying the requirements of this sentence) is the beneficial owner, directly or indirectly, of more than 50% of the Voting Stock of such holding company (including the Parent);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sale, lease, transfer, conveyance or other disposition, in one transaction or a series of related transactions, of all or substantially all of the assets of the Company and its Subsidiaries taken as a whole to a Person, other than (x) where the Company is the surviving entity following such sale, lease, transfer, conveyance or other disposition, (y) a Subsidiary, or (z) any such sale, lease, transfer, conveyance or other disposition where the shares of the Company</w:t>
            </w:r>
            <w:r>
              <w:rPr>
                <w:rFonts w:ascii="Times New Roman" w:hAnsi="Times New Roman"/>
                <w:i/>
                <w:sz w:val="20"/>
              </w:rPr>
              <w:t></w:t>
            </w:r>
            <w:r>
              <w:rPr>
                <w:rFonts w:ascii="Times New Roman" w:hAnsi="Times New Roman"/>
                <w:sz w:val="20"/>
              </w:rPr>
              <w:t xml:space="preserve">s Voting Stock outstanding immediately prior to such transaction constitute, or are converted into or exchanged for, a majority of the Voting Stock of the surviving Person or parent entity thereof immediately after giving effect to such transaction.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Change of Control Triggering Event</w:t>
      </w:r>
      <w:r>
        <w:rPr>
          <w:rFonts w:ascii="Times New Roman" w:hAnsi="Times New Roman"/>
          <w:sz w:val="20"/>
        </w:rPr>
        <w:t xml:space="preserve"> means, with respect to a series of the Notes, the occurrence of a Change of Control together with a Below Investment Grade Rating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Commercial Paper Program</w:t>
      </w:r>
      <w:r>
        <w:rPr>
          <w:rFonts w:ascii="Times New Roman" w:hAnsi="Times New Roman"/>
          <w:sz w:val="20"/>
        </w:rPr>
        <w:t xml:space="preserve"> means the unsecured commercial paper program established on November 21, 2024 under which the Company, NXP Funding and NXP USA may, on a joint and several basis, issue short-term, unsecured commercial paper notes pursuant to an exemption from the registration requirements of the U.S.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Consolidated Net Tangible Assets</w:t>
      </w:r>
      <w:r>
        <w:rPr>
          <w:rFonts w:ascii="Times New Roman" w:hAnsi="Times New Roman"/>
          <w:sz w:val="20"/>
        </w:rPr>
        <w:t> means, at any date, the total assets appearing on the Parent</w:t>
      </w:r>
      <w:r>
        <w:rPr>
          <w:rFonts w:ascii="Times New Roman" w:hAnsi="Times New Roman"/>
          <w:i/>
          <w:sz w:val="20"/>
        </w:rPr>
        <w:t></w:t>
      </w:r>
      <w:r>
        <w:rPr>
          <w:rFonts w:ascii="Times New Roman" w:hAnsi="Times New Roman"/>
          <w:sz w:val="20"/>
        </w:rPr>
        <w:t xml:space="preserve">s most recent consolidated balance sheet, prepared in accordance with GAAP, less all current liabilities as shown on such balance sheet, and Intangible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Credit Facility</w:t>
      </w:r>
      <w:r>
        <w:rPr>
          <w:rFonts w:ascii="Times New Roman" w:hAnsi="Times New Roman"/>
          <w:sz w:val="20"/>
        </w:rPr>
        <w:t xml:space="preserve"> means, with respect to the Company or any of its Subsidiaries, one or more debt facilities, indentures or other arrangements (including the Revolving Credit Agreement, the Facility Agreements, the Commercial Paper Program or commercial paper facilities and overdraft facilities) with banks, other financial institutions or investors providing for revolving credit loans, term loans, notes, receivables financing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Revolving Credit Agreement, the Facility Agreements, the Commercial Paper Program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w:t>
      </w:r>
      <w:r>
        <w:rPr>
          <w:rFonts w:ascii="Times New Roman" w:hAnsi="Times New Roman"/>
          <w:i/>
          <w:sz w:val="20"/>
        </w:rPr>
        <w:t></w:t>
      </w:r>
      <w:r>
        <w:rPr>
          <w:rFonts w:ascii="Times New Roman" w:hAnsi="Times New Roman"/>
          <w:sz w:val="20"/>
        </w:rPr>
        <w:t>Credit Facility</w:t>
      </w:r>
      <w:r>
        <w:rPr>
          <w:rFonts w:ascii="Times New Roman" w:hAnsi="Times New Roman"/>
          <w:i/>
          <w:sz w:val="20"/>
        </w:rPr>
        <w:t></w:t>
      </w:r>
      <w:r>
        <w:rPr>
          <w:rFonts w:ascii="Times New Roman" w:hAnsi="Times New Roman"/>
          <w:sz w:val="20"/>
        </w:rPr>
        <w:t xml:space="preserve">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Dollar Equivalent</w:t>
      </w:r>
      <w:r>
        <w:rPr>
          <w:rFonts w:ascii="Times New Roman" w:hAnsi="Times New Roman"/>
          <w:sz w:val="20"/>
        </w:rPr>
        <w:t xml:space="preserve"> means, with respect to any monetary amount in a currency other than dollar, at any time of determination thereof by the Company or the Trustee, the amount of dollar obtained by converting such currency other than dollar involved in such computation into dollar at the spot rate for the purchase of dollar with the applicable currency other than dollar as published in The Financial Times in the </w:t>
      </w:r>
      <w:r>
        <w:rPr>
          <w:rFonts w:ascii="Times New Roman" w:hAnsi="Times New Roman"/>
          <w:i/>
          <w:sz w:val="20"/>
        </w:rPr>
        <w:t></w:t>
      </w:r>
      <w:r>
        <w:rPr>
          <w:rFonts w:ascii="Times New Roman" w:hAnsi="Times New Roman"/>
          <w:sz w:val="20"/>
        </w:rPr>
        <w:t>Currency Rates</w:t>
      </w:r>
      <w:r>
        <w:rPr>
          <w:rFonts w:ascii="Times New Roman" w:hAnsi="Times New Roman"/>
          <w:i/>
          <w:sz w:val="20"/>
        </w:rPr>
        <w:t></w:t>
      </w:r>
      <w:r>
        <w:rPr>
          <w:rFonts w:ascii="Times New Roman" w:hAnsi="Times New Roman"/>
          <w:sz w:val="20"/>
        </w:rPr>
        <w:t xml:space="preserve"> section (or, if The Financial Times is no longer published, or if such information is no longer available in The Financial Times, such source as may be selected in good faith by an Officer or the Board of Directors) on the date of such determination. </w:t>
      </w:r>
    </w:p>
    <w:p>
      <w:pPr>
        <w:pStyle w:val="TextBody"/>
        <w:bidi w:val="0"/>
        <w:spacing w:before="240" w:after="0"/>
        <w:jc w:val="left"/>
        <w:rPr>
          <w:rFonts w:ascii="Times New Roman" w:hAnsi="Times New Roman"/>
          <w:sz w:val="20"/>
        </w:rPr>
      </w:pPr>
      <w:r>
        <w:rPr>
          <w:rFonts w:ascii="Times New Roman" w:hAnsi="Times New Roman"/>
          <w:i/>
          <w:sz w:val="20"/>
        </w:rPr>
        <w:t>Facility A Agreement</w:t>
      </w:r>
      <w:r>
        <w:rPr>
          <w:rFonts w:ascii="Times New Roman" w:hAnsi="Times New Roman"/>
          <w:sz w:val="20"/>
        </w:rPr>
        <w:t xml:space="preserve"> means the facility agreement entered into on November 22, 2024, between the Company, as borrower, the European Investment Bank, as bank, as may be amended, supplemented or otherwise modified from time to time, and any Refinancing Indebtedness in respect thereto. </w:t>
      </w:r>
    </w:p>
    <w:p>
      <w:pPr>
        <w:pStyle w:val="TextBody"/>
        <w:bidi w:val="0"/>
        <w:spacing w:before="240" w:after="0"/>
        <w:jc w:val="left"/>
        <w:rPr>
          <w:rFonts w:ascii="Times New Roman" w:hAnsi="Times New Roman"/>
          <w:sz w:val="20"/>
        </w:rPr>
      </w:pPr>
      <w:r>
        <w:rPr>
          <w:rFonts w:ascii="Times New Roman" w:hAnsi="Times New Roman"/>
          <w:i/>
          <w:sz w:val="20"/>
        </w:rPr>
        <w:t xml:space="preserve">Facility Agreements </w:t>
      </w:r>
      <w:r>
        <w:rPr>
          <w:rFonts w:ascii="Times New Roman" w:hAnsi="Times New Roman"/>
          <w:sz w:val="20"/>
        </w:rPr>
        <w:t xml:space="preserve">means the Facility A Agreement and the Facility B Agreement. </w:t>
      </w:r>
    </w:p>
    <w:p>
      <w:pPr>
        <w:pStyle w:val="TextBody"/>
        <w:bidi w:val="0"/>
        <w:spacing w:before="240" w:after="0"/>
        <w:jc w:val="left"/>
        <w:rPr>
          <w:rFonts w:ascii="Times New Roman" w:hAnsi="Times New Roman"/>
          <w:sz w:val="20"/>
        </w:rPr>
      </w:pPr>
      <w:r>
        <w:rPr>
          <w:rFonts w:ascii="Times New Roman" w:hAnsi="Times New Roman"/>
          <w:i/>
          <w:sz w:val="20"/>
        </w:rPr>
        <w:t>Facility B Agreement</w:t>
      </w:r>
      <w:r>
        <w:rPr>
          <w:rFonts w:ascii="Times New Roman" w:hAnsi="Times New Roman"/>
          <w:sz w:val="20"/>
        </w:rPr>
        <w:t xml:space="preserve"> means the facility agreement entered into on January 13, 2025, between the Company, as borrower, the European Investment Bank, as bank, as may be amended, supplemented or otherwise modified from time to time, and any Refinancing Indebtedness in respect thereto. </w:t>
      </w:r>
    </w:p>
    <w:p>
      <w:pPr>
        <w:pStyle w:val="TextBody"/>
        <w:bidi w:val="0"/>
        <w:spacing w:before="240" w:after="0"/>
        <w:jc w:val="left"/>
        <w:rPr>
          <w:rFonts w:ascii="Times New Roman" w:hAnsi="Times New Roman"/>
          <w:sz w:val="20"/>
        </w:rPr>
      </w:pPr>
      <w:r>
        <w:rPr>
          <w:rFonts w:ascii="Times New Roman" w:hAnsi="Times New Roman"/>
          <w:i/>
          <w:sz w:val="20"/>
        </w:rPr>
        <w:t xml:space="preserve">fair market value </w:t>
      </w:r>
      <w:r>
        <w:rPr>
          <w:rFonts w:ascii="Times New Roman" w:hAnsi="Times New Roman"/>
          <w:sz w:val="20"/>
        </w:rPr>
        <w:t>may be conclusively established by means of an Officer</w:t>
      </w:r>
      <w:r>
        <w:rPr>
          <w:rFonts w:ascii="Times New Roman" w:hAnsi="Times New Roman"/>
          <w:i/>
          <w:sz w:val="20"/>
        </w:rPr>
        <w:t></w:t>
      </w:r>
      <w:r>
        <w:rPr>
          <w:rFonts w:ascii="Times New Roman" w:hAnsi="Times New Roman"/>
          <w:sz w:val="20"/>
        </w:rPr>
        <w:t xml:space="preserve">s Certificate or a resolution of the Board of Directors of the Parent setting out such fair market value as determined by such Officer or such Board of Directors in good faith.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Fitch</w:t>
      </w:r>
      <w:r>
        <w:rPr>
          <w:rFonts w:ascii="Times New Roman" w:hAnsi="Times New Roman"/>
          <w:sz w:val="20"/>
        </w:rPr>
        <w:t xml:space="preserve"> means Fitch Ratings Limited or any of its successors or assigns that is a Nationally Recognized Statistical Rating Organization.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as in effect on the date of any calculation or determination required hereunder. Except as otherwise set forth in the Indenture, all ratios and calculations based on GAAP contained in the Indenture shall be computed in accordance with GAAP. At any time after the Issue Date, the Company may elect to establish that GAAP shall mean the GAAP as in effect on or prior to the date of such election, provided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the Indenture), including as to the ability of the Company to make an election pursuant to the previous sentence; provided that any such election, once made, shall be irrevocable; provided, further,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calculation or determination in the Indenture that require the application of GAAP for periods that include fiscal quarters ended prior to the Company</w:t>
      </w:r>
      <w:r>
        <w:rPr>
          <w:rFonts w:ascii="Times New Roman" w:hAnsi="Times New Roman"/>
          <w:i/>
          <w:sz w:val="20"/>
        </w:rPr>
        <w:t></w:t>
      </w:r>
      <w:r>
        <w:rPr>
          <w:rFonts w:ascii="Times New Roman" w:hAnsi="Times New Roman"/>
          <w:sz w:val="20"/>
        </w:rPr>
        <w:t xml:space="preserve">s election to apply IFRS shall remain as previously calculated or determined in accordance with GAAP; provided, further, again, that the Company may only make such election if it also elects to report any subsequent financial reports required to be made by the Company, including pursuant to Section 13 or Section 15(d) of the U.S. Exchange Act, in IFRS. The Company shall give notice of any such election made in accordance with this definition to the Trustee and the Holders.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Governmental Authority</w:t>
      </w:r>
      <w:r>
        <w:rPr>
          <w:rFonts w:ascii="Times New Roman" w:hAnsi="Times New Roman"/>
          <w:sz w:val="20"/>
        </w:rPr>
        <w:t xml:space="preserve"> means any nation, sovereign or government, any state, province, territory or other political subdivision thereof, and any entity or authority exercising executive, legislative, judicial, regulatory, self-regulatory or administrative functions of or pertaining to government, including a central bank or stock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Guarantee</w:t>
      </w:r>
      <w:r>
        <w:rPr>
          <w:rFonts w:ascii="Times New Roman" w:hAnsi="Times New Roman"/>
          <w:sz w:val="20"/>
        </w:rPr>
        <w:t xml:space="preserve"> means any obligation, contingent or otherwise, of any Person directly or indirectly guaranteeing any Indebtedness of any other Person, including any such obligation, direct or indirect, contingent or otherwise, of such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entered into primarily for purposes of assuring in any other manner the obligee of such Indebtedness of the payment thereof or to protect such obligee against loss in respect thereof (in whole or in part);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the term </w:t>
      </w:r>
      <w:r>
        <w:rPr>
          <w:rFonts w:ascii="Times New Roman" w:hAnsi="Times New Roman"/>
          <w:i/>
          <w:sz w:val="20"/>
        </w:rPr>
        <w:t></w:t>
      </w:r>
      <w:r>
        <w:rPr>
          <w:rFonts w:ascii="Times New Roman" w:hAnsi="Times New Roman"/>
          <w:sz w:val="20"/>
        </w:rPr>
        <w:t>Guarantee</w:t>
      </w:r>
      <w:r>
        <w:rPr>
          <w:rFonts w:ascii="Times New Roman" w:hAnsi="Times New Roman"/>
          <w:i/>
          <w:sz w:val="20"/>
        </w:rPr>
        <w:t xml:space="preserve"> </w:t>
      </w:r>
      <w:r>
        <w:rPr>
          <w:rFonts w:ascii="Times New Roman" w:hAnsi="Times New Roman"/>
          <w:sz w:val="20"/>
        </w:rPr>
        <w:t xml:space="preserve">will not include endorsements for collection or deposit in the ordinary course of business. The term </w:t>
      </w:r>
      <w:r>
        <w:rPr>
          <w:rFonts w:ascii="Times New Roman" w:hAnsi="Times New Roman"/>
          <w:i/>
          <w:sz w:val="20"/>
        </w:rPr>
        <w:t xml:space="preserve">Guarantee </w:t>
      </w:r>
      <w:r>
        <w:rPr>
          <w:rFonts w:ascii="Times New Roman" w:hAnsi="Times New Roman"/>
          <w:sz w:val="20"/>
        </w:rPr>
        <w:t xml:space="preserve">used as a verb has a corresponding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Guarantor</w:t>
      </w:r>
      <w:r>
        <w:rPr>
          <w:rFonts w:ascii="Times New Roman" w:hAnsi="Times New Roman"/>
          <w:sz w:val="20"/>
        </w:rPr>
        <w:t xml:space="preserve"> means the Parent and any Subsidiary of the Parent that Guarantees the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Holder</w:t>
      </w:r>
      <w:r>
        <w:rPr>
          <w:rFonts w:ascii="Times New Roman" w:hAnsi="Times New Roman"/>
          <w:sz w:val="20"/>
        </w:rPr>
        <w:t> means each Person in whose name the Notes are registered on the Registrar</w:t>
      </w:r>
      <w:r>
        <w:rPr>
          <w:rFonts w:ascii="Times New Roman" w:hAnsi="Times New Roman"/>
          <w:i/>
          <w:sz w:val="20"/>
        </w:rPr>
        <w:t></w:t>
      </w:r>
      <w:r>
        <w:rPr>
          <w:rFonts w:ascii="Times New Roman" w:hAnsi="Times New Roman"/>
          <w:sz w:val="20"/>
        </w:rPr>
        <w:t xml:space="preserve">s books, which shall initially be the respective nominee of DTC.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Incur</w:t>
      </w:r>
      <w:r>
        <w:rPr>
          <w:rFonts w:ascii="Times New Roman" w:hAnsi="Times New Roman"/>
          <w:sz w:val="20"/>
        </w:rPr>
        <w:t> means issue, create, assume, enter into any Guarantee of, incur, extend or otherwise become liable for; and the terms </w:t>
      </w:r>
      <w:r>
        <w:rPr>
          <w:rFonts w:ascii="Times New Roman" w:hAnsi="Times New Roman"/>
          <w:i/>
          <w:sz w:val="20"/>
        </w:rPr>
        <w:t>Incurred</w:t>
      </w:r>
      <w:r>
        <w:rPr>
          <w:rFonts w:ascii="Times New Roman" w:hAnsi="Times New Roman"/>
          <w:sz w:val="20"/>
        </w:rPr>
        <w:t> and </w:t>
      </w:r>
      <w:r>
        <w:rPr>
          <w:rFonts w:ascii="Times New Roman" w:hAnsi="Times New Roman"/>
          <w:i/>
          <w:sz w:val="20"/>
        </w:rPr>
        <w:t>Incurrence</w:t>
      </w:r>
      <w:r>
        <w:rPr>
          <w:rFonts w:ascii="Times New Roman" w:hAnsi="Times New Roman"/>
          <w:sz w:val="20"/>
        </w:rPr>
        <w:t xml:space="preserve"> have meanings correlative to the foregoing and any Indebtedness pursuant to any revolving credit or similar facility shall only be </w:t>
      </w:r>
      <w:r>
        <w:rPr>
          <w:rFonts w:ascii="Times New Roman" w:hAnsi="Times New Roman"/>
          <w:i/>
          <w:sz w:val="20"/>
        </w:rPr>
        <w:t>Incurred</w:t>
      </w:r>
      <w:r>
        <w:rPr>
          <w:rFonts w:ascii="Times New Roman" w:hAnsi="Times New Roman"/>
          <w:sz w:val="20"/>
        </w:rPr>
        <w:t xml:space="preserve"> at the time any funds are borrowed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Indebtedness</w:t>
      </w:r>
      <w:r>
        <w:rPr>
          <w:rFonts w:ascii="Times New Roman" w:hAnsi="Times New Roman"/>
          <w:sz w:val="20"/>
        </w:rPr>
        <w:t xml:space="preserve"> means, with respect to any Person on any date of determination (without duplication), (a) indebtedness of such Person for borrowed money, including indebtedness evidenced by bonds, debentures, notes or other similar instruments, if and to the extent such indebtedness would appear as a liability upon a balance sheet of such Person (excluding any notes thereto) prepared on the basis of GAAP, and (b) all Indebtedness of others guaranteed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the Indenture, and (other than with respect to guarantees of Indebtedness specified in clause (b) above) shall equal the amount thereof that would appear on a balance sheet of such Person (excluding any notes thereto) prepared on the basis of GAAP. Notwithstanding the above provisions, in no event shall the following constitute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contingent obligations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purchase by a Person of any business, any post-closing payment adjustments to which the seller may become entitled to the extent such payment is determined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within 30 days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any obligations or liabilities arising by operation of law as a result of the Parent and its Subsidiaries forming part of a fiscal unity (</w:t>
            </w:r>
            <w:r>
              <w:rPr>
                <w:rFonts w:ascii="Times New Roman" w:hAnsi="Times New Roman"/>
                <w:i/>
                <w:sz w:val="20"/>
              </w:rPr>
              <w:t>fiscale eenheid</w:t>
            </w:r>
            <w:r>
              <w:rPr>
                <w:rFonts w:ascii="Times New Roman" w:hAnsi="Times New Roman"/>
                <w:sz w:val="20"/>
              </w:rPr>
              <w:t xml:space="preserve">) for Dutch corporate income and/or value added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any obligations in respect of workers compensation claims, early retirement or termination obligations, pension fund obligations or contributions or similar claims, obligations or contributions or social security or wage Taxes.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Intangible Assets</w:t>
      </w:r>
      <w:r>
        <w:rPr>
          <w:rFonts w:ascii="Times New Roman" w:hAnsi="Times New Roman"/>
          <w:sz w:val="20"/>
        </w:rPr>
        <w:t xml:space="preserve"> means the value (net of applicable reserves), as shown on or reflected in the Parents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Investment Grade Rating</w:t>
      </w:r>
      <w:r>
        <w:rPr>
          <w:rFonts w:ascii="Times New Roman" w:hAnsi="Times New Roman"/>
          <w:sz w:val="20"/>
        </w:rPr>
        <w:t xml:space="preserve"> means (i) with respect to Moodys, a rating equal to or higher than Baa3 (or the equivalent), (ii) with respect to S&amp;P, a rating equal to or higher than BBB- (or the equivalent), and (iii) with respect to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August 19, 2025.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Lien</w:t>
      </w:r>
      <w:r>
        <w:rPr>
          <w:rFonts w:ascii="Times New Roman" w:hAnsi="Times New Roman"/>
          <w:sz w:val="20"/>
        </w:rPr>
        <w:t xml:space="preserve"> means any mortgage, pledge, security interest, encumbrance, lien or charge of any kind (including any conditional sale or other title retention agreement or lease in the nature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Moodys</w:t>
      </w:r>
      <w:r>
        <w:rPr>
          <w:rFonts w:ascii="Times New Roman" w:hAnsi="Times New Roman"/>
          <w:sz w:val="20"/>
        </w:rPr>
        <w:t xml:space="preserve"> means Moodys Investors Service, Inc. or any of its successors or assigns that is a Nationally Recognized Statistical Rating Organization.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Nationally Recognized Statistical Rating Organization</w:t>
      </w:r>
      <w:r>
        <w:rPr>
          <w:rFonts w:ascii="Times New Roman" w:hAnsi="Times New Roman"/>
          <w:sz w:val="20"/>
        </w:rPr>
        <w:t xml:space="preserve"> means a nationally recognized statistical rating organization within the meaning of Section 3(a) (62) of the U.S.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Note Documents</w:t>
      </w:r>
      <w:r>
        <w:rPr>
          <w:rFonts w:ascii="Times New Roman" w:hAnsi="Times New Roman"/>
          <w:sz w:val="20"/>
        </w:rPr>
        <w:t xml:space="preserve"> means the Notes (including Additional Notes) and the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Officer</w:t>
      </w:r>
      <w:r>
        <w:rPr>
          <w:rFonts w:ascii="Times New Roman" w:hAnsi="Times New Roman"/>
          <w:sz w:val="20"/>
        </w:rPr>
        <w:t> means, with respect to any Person, (1) the Chairman of the Board of Directors, the Chief Executive Officer, the President, the Chief Financial Officer, any Vice President, the Treasurer, any Managing Director, or the Secretary (a) of such Person or (b) if such Person is owned or managed by a single entity, of such entity, or (2) any other individual designated as an </w:t>
      </w:r>
      <w:r>
        <w:rPr>
          <w:rFonts w:ascii="Times New Roman" w:hAnsi="Times New Roman"/>
          <w:i/>
          <w:sz w:val="20"/>
        </w:rPr>
        <w:t>Officer</w:t>
      </w:r>
      <w:r>
        <w:rPr>
          <w:rFonts w:ascii="Times New Roman" w:hAnsi="Times New Roman"/>
          <w:sz w:val="20"/>
        </w:rPr>
        <w:t xml:space="preserve"> for the purposes of the Indenture by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Officers Certificate</w:t>
      </w:r>
      <w:r>
        <w:rPr>
          <w:rFonts w:ascii="Times New Roman" w:hAnsi="Times New Roman"/>
          <w:sz w:val="20"/>
        </w:rPr>
        <w:t xml:space="preserve"> means, with respect to any Person, a certificate signed by one Officer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Opinion of Counsel</w:t>
      </w:r>
      <w:r>
        <w:rPr>
          <w:rFonts w:ascii="Times New Roman" w:hAnsi="Times New Roman"/>
          <w:sz w:val="20"/>
        </w:rPr>
        <w:t xml:space="preserve"> means a written opinion from legal counsel reasonably satisfactory to the Trustee. The legal counsel may be an employee of or counsel to the Parent or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Parent</w:t>
      </w:r>
      <w:r>
        <w:rPr>
          <w:rFonts w:ascii="Times New Roman" w:hAnsi="Times New Roman"/>
          <w:sz w:val="20"/>
        </w:rPr>
        <w:t xml:space="preserve"> means NXP Semiconductors N.V.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Permitted Lien</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other assets or shares of stock of a Person at the time such Person becomes a Subsidiary (or at the time the Company or a Subsidiary acquires such property, other assets or shares of stock, including any acquisition by means of a merger, consolidation or other business combination transaction with or into the Company or any Subsidiary); provided, however, that such Liens are not created, Incurred or assumed in anticipation of or in connection with such other Person becoming a Subsidiary (or such acquisition of such property, other assets or stock); provided, further,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assets or property of the Company or any Subsidiary securing Indebtedness or other obligations of the Company or such Subsidiary owing to the Company or another Subsidiary, or Liens in favor of the Company or 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Refinancing Indebtedness Incurred to refinance Indebtedness that was previously permitted to be secured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Liens arising as a result of the Parent and its Subsidiaries being part of a fiscal unity (</w:t>
            </w:r>
            <w:r>
              <w:rPr>
                <w:rFonts w:ascii="Times New Roman" w:hAnsi="Times New Roman"/>
                <w:i/>
                <w:sz w:val="20"/>
              </w:rPr>
              <w:t>fiscale eenheid</w:t>
            </w:r>
            <w:r>
              <w:rPr>
                <w:rFonts w:ascii="Times New Roman" w:hAnsi="Times New Roman"/>
                <w:sz w:val="20"/>
              </w:rPr>
              <w:t xml:space="preserve">) for Dutch corporate income or value added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assets or property of the Company or any Subsidiary securing hedging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Liens (including successive extensions, renewals, alterations or replacements thereof) not excepted by clauses (1) through (3) above, provided that after giving effect thereto the aggregate principal amount of the Secured Indebtedness of the Company and its Significant Subsidiaries secured by such Liens does not exceed the greater of (A) $1,250 million and (B) 15% of the Consolidated Net Tangible Assets, in each case after giving effect to such Incurrence and the application of the proceeds therefrom.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joint venture, association, joint-stock company, trust, unincorporated organization, limited liability company,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Preferred Stock</w:t>
      </w:r>
      <w:r>
        <w:rPr>
          <w:rFonts w:ascii="Times New Roman" w:hAnsi="Times New Roman"/>
          <w:sz w:val="20"/>
        </w:rPr>
        <w:t xml:space="preserve">,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Principal Property</w:t>
      </w:r>
      <w:r>
        <w:rPr>
          <w:rFonts w:ascii="Times New Roman" w:hAnsi="Times New Roman"/>
          <w:sz w:val="20"/>
        </w:rPr>
        <w:t xml:space="preserve"> means property, plant and equipment owned by the Company or any Significant Subsidiary, provided that the book value of such property is an amount greater than 1.00%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Rating Agencies</w:t>
      </w:r>
      <w:r>
        <w:rPr>
          <w:rFonts w:ascii="Times New Roman" w:hAnsi="Times New Roman"/>
          <w:sz w:val="20"/>
        </w:rPr>
        <w:t> means each of Moody</w:t>
      </w:r>
      <w:r>
        <w:rPr>
          <w:rFonts w:ascii="Times New Roman" w:hAnsi="Times New Roman"/>
          <w:i/>
          <w:sz w:val="20"/>
        </w:rPr>
        <w:t></w:t>
      </w:r>
      <w:r>
        <w:rPr>
          <w:rFonts w:ascii="Times New Roman" w:hAnsi="Times New Roman"/>
          <w:sz w:val="20"/>
        </w:rPr>
        <w:t>s, S&amp;P and Fitch or any of their respective successors, provided that, if any of Moody</w:t>
      </w:r>
      <w:r>
        <w:rPr>
          <w:rFonts w:ascii="Times New Roman" w:hAnsi="Times New Roman"/>
          <w:i/>
          <w:sz w:val="20"/>
        </w:rPr>
        <w:t></w:t>
      </w:r>
      <w:r>
        <w:rPr>
          <w:rFonts w:ascii="Times New Roman" w:hAnsi="Times New Roman"/>
          <w:sz w:val="20"/>
        </w:rPr>
        <w:t xml:space="preserve">s, S&amp;P and Fitch or all of them shall cease rating the Notes (for reasons outside the control of the Company), the Company shall select any other Nationally Recognized Statistical Rating Organization.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Refinance</w:t>
      </w:r>
      <w:r>
        <w:rPr>
          <w:rFonts w:ascii="Times New Roman" w:hAnsi="Times New Roman"/>
          <w:sz w:val="20"/>
        </w:rPr>
        <w:t xml:space="preserve"> means refinance, refund, replace, renew, repay, modify, restate, defer, substitute, supplement, reissue, resell, extend or increase (including pursuant to any defeasance or discharge mechanism) and the terms </w:t>
      </w:r>
      <w:r>
        <w:rPr>
          <w:rFonts w:ascii="Times New Roman" w:hAnsi="Times New Roman"/>
          <w:i/>
          <w:sz w:val="20"/>
        </w:rPr>
        <w:t></w:t>
      </w:r>
      <w:r>
        <w:rPr>
          <w:rFonts w:ascii="Times New Roman" w:hAnsi="Times New Roman"/>
          <w:sz w:val="20"/>
        </w:rPr>
        <w:t>refinances,</w:t>
      </w:r>
      <w:r>
        <w:rPr>
          <w:rFonts w:ascii="Times New Roman" w:hAnsi="Times New Roman"/>
          <w:i/>
          <w:sz w:val="20"/>
        </w:rPr>
        <w:t></w:t>
      </w:r>
      <w:r>
        <w:rPr>
          <w:rFonts w:ascii="Times New Roman" w:hAnsi="Times New Roman"/>
          <w:sz w:val="20"/>
        </w:rPr>
        <w:t xml:space="preserve"> </w:t>
      </w:r>
      <w:r>
        <w:rPr>
          <w:rFonts w:ascii="Times New Roman" w:hAnsi="Times New Roman"/>
          <w:i/>
          <w:sz w:val="20"/>
        </w:rPr>
        <w:t></w:t>
      </w:r>
      <w:r>
        <w:rPr>
          <w:rFonts w:ascii="Times New Roman" w:hAnsi="Times New Roman"/>
          <w:sz w:val="20"/>
        </w:rPr>
        <w:t>refinanced</w:t>
      </w:r>
      <w:r>
        <w:rPr>
          <w:rFonts w:ascii="Times New Roman" w:hAnsi="Times New Roman"/>
          <w:i/>
          <w:sz w:val="20"/>
        </w:rPr>
        <w:t></w:t>
      </w:r>
      <w:r>
        <w:rPr>
          <w:rFonts w:ascii="Times New Roman" w:hAnsi="Times New Roman"/>
          <w:sz w:val="20"/>
        </w:rPr>
        <w:t xml:space="preserve"> and </w:t>
      </w:r>
      <w:r>
        <w:rPr>
          <w:rFonts w:ascii="Times New Roman" w:hAnsi="Times New Roman"/>
          <w:i/>
          <w:sz w:val="20"/>
        </w:rPr>
        <w:t></w:t>
      </w:r>
      <w:r>
        <w:rPr>
          <w:rFonts w:ascii="Times New Roman" w:hAnsi="Times New Roman"/>
          <w:sz w:val="20"/>
        </w:rPr>
        <w:t>refinancing</w:t>
      </w:r>
      <w:r>
        <w:rPr>
          <w:rFonts w:ascii="Times New Roman" w:hAnsi="Times New Roman"/>
          <w:i/>
          <w:sz w:val="20"/>
        </w:rPr>
        <w:t></w:t>
      </w:r>
      <w:r>
        <w:rPr>
          <w:rFonts w:ascii="Times New Roman" w:hAnsi="Times New Roman"/>
          <w:sz w:val="20"/>
        </w:rPr>
        <w:t xml:space="preserve"> as used for any purpose in the Indenture shall have a correlative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Refinancing Indebtedness</w:t>
      </w:r>
      <w:r>
        <w:rPr>
          <w:rFonts w:ascii="Times New Roman" w:hAnsi="Times New Roman"/>
          <w:sz w:val="20"/>
        </w:rPr>
        <w:t xml:space="preserve"> means Indebtedness that is Incurred to refund, refinance, replace, exchange, renew, repay or extend (including pursuant to any defeasance or discharge mechanism) any Indebtedness existing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the Indenture or Incurred in compliance with the Indenture (including Indebtedness of the Company that refinances Indebtedness of any Subsidiary of the Company and Indebtedness of any Subsidiary of the Company that refinances Indebtedness of the Company or another Subsidiary) including Indebtedness that refinances Refinancing Indebtedness; provided, however,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applicable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Indebtedness being refinanced is expressly subordinated to the applicable series of Notes, such Refinancing Indebtedness is subordinated to such Notes on terms at least as favorable to the Holders as those contained in the documentation governing the Indebtedness being refinanced;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Refinancing Indebtedness in respect of any Credit Facility or any other Indebtedness may be Incurred from time to time after the termination, discharge or repayment of any such Credit Facility or other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Revolving Credit Agreement</w:t>
      </w:r>
      <w:r>
        <w:rPr>
          <w:rFonts w:ascii="Times New Roman" w:hAnsi="Times New Roman"/>
          <w:sz w:val="20"/>
        </w:rPr>
        <w:t xml:space="preserve"> means the amended and restated revolving credit agreement entered into on August 26, 2022 by, among others, the Company and NXP Funding, as borrowers, Barclays Bank PLC, as administrative agent, the lenders and letter of credit issuers from time to time party thereto, and the other parties thereto, as may be amended, supplemented or otherwise modified from time to time, and any Refinancing Indebtedness in respect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S&amp;P</w:t>
      </w:r>
      <w:r>
        <w:rPr>
          <w:rFonts w:ascii="Times New Roman" w:hAnsi="Times New Roman"/>
          <w:sz w:val="20"/>
        </w:rPr>
        <w:t> means Standard &amp; Poor</w:t>
      </w:r>
      <w:r>
        <w:rPr>
          <w:rFonts w:ascii="Times New Roman" w:hAnsi="Times New Roman"/>
          <w:i/>
          <w:sz w:val="20"/>
        </w:rPr>
        <w:t></w:t>
      </w:r>
      <w:r>
        <w:rPr>
          <w:rFonts w:ascii="Times New Roman" w:hAnsi="Times New Roman"/>
          <w:sz w:val="20"/>
        </w:rPr>
        <w:t xml:space="preserve">s Investors Ratings Services or any of its successors or assigns that is a Nationally Recognized Statistical Rating Organization.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Sale and Leaseback Transaction</w:t>
      </w:r>
      <w:r>
        <w:rPr>
          <w:rFonts w:ascii="Times New Roman" w:hAnsi="Times New Roman"/>
          <w:sz w:val="20"/>
        </w:rPr>
        <w:t xml:space="preserve"> means an arrangement relating to any Principal Property owned by the Company or a Significant Subsidiary on the Issue Date or thereafter acquired by the Company or a Significant Subsidiary whereby the Company or a Significant Subsidiary transfers such property to a Person and the Company or a Significant Subsidiary leases it from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SEC</w:t>
      </w:r>
      <w:r>
        <w:rPr>
          <w:rFonts w:ascii="Times New Roman" w:hAnsi="Times New Roman"/>
          <w:sz w:val="20"/>
        </w:rPr>
        <w:t xml:space="preserve"> means the U.S. Securities and Exchange Commission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Secured Indebtedness</w:t>
      </w:r>
      <w:r>
        <w:rPr>
          <w:rFonts w:ascii="Times New Roman" w:hAnsi="Times New Roman"/>
          <w:sz w:val="20"/>
        </w:rPr>
        <w:t xml:space="preserve"> means any Indebtedness secured by a Lien and any Attributable Lien.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Significant Subsidiary</w:t>
      </w:r>
      <w:r>
        <w:rPr>
          <w:rFonts w:ascii="Times New Roman" w:hAnsi="Times New Roman"/>
          <w:sz w:val="20"/>
        </w:rPr>
        <w:t xml:space="preserve"> means any Subsidiary that meets any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w:t>
            </w:r>
            <w:r>
              <w:rPr>
                <w:rFonts w:ascii="Times New Roman" w:hAnsi="Times New Roman"/>
                <w:i/>
                <w:sz w:val="20"/>
              </w:rPr>
              <w:t></w:t>
            </w:r>
            <w:r>
              <w:rPr>
                <w:rFonts w:ascii="Times New Roman" w:hAnsi="Times New Roman"/>
                <w:sz w:val="20"/>
              </w:rPr>
              <w:t xml:space="preserve">s and its Subsidiaries investments in and advances to the Subsidiary exceed 10% of the Total Assets of the Parent and its Subsidiaries on a consolidated basis as of the end of the most recently completed fiscal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w:t>
            </w:r>
            <w:r>
              <w:rPr>
                <w:rFonts w:ascii="Times New Roman" w:hAnsi="Times New Roman"/>
                <w:i/>
                <w:sz w:val="20"/>
              </w:rPr>
              <w:t></w:t>
            </w:r>
            <w:r>
              <w:rPr>
                <w:rFonts w:ascii="Times New Roman" w:hAnsi="Times New Roman"/>
                <w:sz w:val="20"/>
              </w:rPr>
              <w:t xml:space="preserve">s and its Subsidiaries proportionate share of the Total Assets (after intercompany eliminations) of the Subsidiary exceeds 10% of the Total Assets of the Parent and its Subsidiaries on a consolidated basis as of the end of the most recently completed fiscal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its Subsidiaries equity in the income from continuing operations before income taxes, extraordinary items and cumulative effect of a change in accounting principle of the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exclusive of any amounts attributable to any non-controlling interests exceeds 10% of such income of the Company and its Subsidiaries on a consolidated basis for the most recently completed fiscal year.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Stated Maturity</w:t>
      </w:r>
      <w:r>
        <w:rPr>
          <w:rFonts w:ascii="Times New Roman" w:hAnsi="Times New Roman"/>
          <w:sz w:val="20"/>
        </w:rPr>
        <w:t xml:space="preserve"> means, with respect to any indebtedness or security, the date specified in such indebtedness or security as the fixed date on which the payment of principal of such indebtedness or security is due and payable, including pursuant to any mandatory redemption provision, but shall not include any contingent obligations to repay, redeem or repurchase any such principal prior to the date originally scheduled for the payment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Subordinated Indebtedness</w:t>
      </w:r>
      <w:r>
        <w:rPr>
          <w:rFonts w:ascii="Times New Roman" w:hAnsi="Times New Roman"/>
          <w:sz w:val="20"/>
        </w:rPr>
        <w:t xml:space="preserve"> means, with respect to any Person, any Indebtedness (whether outstanding on the Issue Date or thereafter Incurred) which is expressly subordinated in right of payment to the Notes pursuant to a written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partnership, joint venture, limited liability company or similar entity of which: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or any Subsidiary of such Person is a controlling general partner or otherwise controls such entity.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Taxes</w:t>
      </w:r>
      <w:r>
        <w:rPr>
          <w:rFonts w:ascii="Times New Roman" w:hAnsi="Times New Roman"/>
          <w:sz w:val="20"/>
        </w:rPr>
        <w:t xml:space="preserve"> means all present and future taxes, levies, imposts, deductions, charges, duties, assessments and withholdings and any charges of a similar nature (including interest, penalties and other liabilities with respect thereto) that are imposed or levied by any government or other taxing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Total Assets</w:t>
      </w:r>
      <w:r>
        <w:rPr>
          <w:rFonts w:ascii="Times New Roman" w:hAnsi="Times New Roman"/>
          <w:sz w:val="20"/>
        </w:rPr>
        <w:t xml:space="preserve"> means the consolidated total assets of the Parent and its Subsidiaries in accordance with GAAP as shown on the most recent consolidated balance sheet of the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Issuers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i/>
          <w:sz w:val="20"/>
        </w:rPr>
        <w:t>H.15</w:t>
      </w:r>
      <w:r>
        <w:rPr>
          <w:rFonts w:ascii="Times New Roman" w:hAnsi="Times New Roman"/>
          <w:sz w:val="20"/>
        </w:rPr>
        <w:t>) under the caption U.S. government securitiesTreasury constant maturitiesNominal (or any successor caption or heading). In determining the Treasury Rate, the Issuers shall select, as applicable: (1) the yield for the Treasury constant maturity on H.15 exactly equal to the period from the redemption date to the applicable Par Call Date (the </w:t>
      </w:r>
      <w:r>
        <w:rPr>
          <w:rFonts w:ascii="Times New Roman" w:hAnsi="Times New Roman"/>
          <w:i/>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Issuers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Uniform Commercial Code</w:t>
      </w:r>
      <w:r>
        <w:rPr>
          <w:rFonts w:ascii="Times New Roman" w:hAnsi="Times New Roman"/>
          <w:sz w:val="20"/>
        </w:rPr>
        <w:t xml:space="preserve"> means the New York Uniform Commercial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U.S. Government Obligations</w:t>
      </w:r>
      <w:r>
        <w:rPr>
          <w:rFonts w:ascii="Times New Roman" w:hAnsi="Times New Roman"/>
          <w:sz w:val="20"/>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U.S. Securities Act), as custodian with respect to any such U.S. Government Obligations or a specific payment of principal of or interest on any such U.S. Government Obligations held by such custodian for the account of the holder of such depositary receipt, provided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U.S. Exchange Act</w:t>
      </w:r>
      <w:r>
        <w:rPr>
          <w:rFonts w:ascii="Times New Roman" w:hAnsi="Times New Roman"/>
          <w:sz w:val="20"/>
        </w:rPr>
        <w:t xml:space="preserve"> means the U.S. Securities Exchange Act of 1934, as amended, and the rules and regulations of the SEC promulgated thereunder,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U.S. Securities Act</w:t>
      </w:r>
      <w:r>
        <w:rPr>
          <w:rFonts w:ascii="Times New Roman" w:hAnsi="Times New Roman"/>
          <w:sz w:val="20"/>
        </w:rPr>
        <w:t xml:space="preserve"> means the U.S. Securities Act of 1933, as amended, and the rules and regulations of the SEC promulgated thereunder,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Voting Stock</w:t>
      </w:r>
      <w:r>
        <w:rPr>
          <w:rFonts w:ascii="Times New Roman" w:hAnsi="Times New Roman"/>
          <w:sz w:val="20"/>
        </w:rPr>
        <w:t xml:space="preserve"> of a Person means all classes of Capital Stock of such Person then outstanding and normally entitled to vote in the election of directors.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Wholly Owned Subsidiary</w:t>
      </w:r>
      <w:r>
        <w:rPr>
          <w:rFonts w:ascii="Times New Roman" w:hAnsi="Times New Roman"/>
          <w:sz w:val="20"/>
        </w:rPr>
        <w:t> means a Subsidiary of the Company or the Parent, as applicable, all of the Capital Stock of which (other than directors</w:t>
      </w:r>
      <w:r>
        <w:rPr>
          <w:rFonts w:ascii="Times New Roman" w:hAnsi="Times New Roman"/>
          <w:i/>
          <w:sz w:val="20"/>
        </w:rPr>
        <w:t></w:t>
      </w:r>
      <w:r>
        <w:rPr>
          <w:rFonts w:ascii="Times New Roman" w:hAnsi="Times New Roman"/>
          <w:sz w:val="20"/>
        </w:rPr>
        <w:t xml:space="preserve"> qualifying shares or shares required by any applicable law or regulation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held by a Person other than the Company or the Parent, as applicable, or another Wholly Owned Subsidiary) is owned by the Company or the Parent, as applicable, or another Wholly Owned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the Notes will be issued in registered, global form in minimum denominations of $2,000 and integral multiples of $1,000 in excess of $2,000. The Notes initially will be represented by one or more Global Notes. The Global Notes will be deposited upon issuance with the trustee as custodian for DTC, in New York, New York, and registered in the name of DTC or its nominee, in each case, for credit to an account of a direct or indirect participant in DTC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 In addition, transfers of beneficial interests in the Global Notes will be subject to the applicable rules and procedures of DTC and its direct or indirect participants, which may change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Depository Procedures </w:t>
      </w:r>
    </w:p>
    <w:p>
      <w:pPr>
        <w:pStyle w:val="TextBody"/>
        <w:bidi w:val="0"/>
        <w:spacing w:before="120" w:after="0"/>
        <w:jc w:val="left"/>
        <w:rPr>
          <w:rFonts w:ascii="Times New Roman" w:hAnsi="Times New Roman"/>
          <w:sz w:val="20"/>
        </w:rPr>
      </w:pPr>
      <w:r>
        <w:rPr>
          <w:rFonts w:ascii="Times New Roman" w:hAnsi="Times New Roman"/>
          <w:sz w:val="20"/>
        </w:rPr>
        <w:t>The following description of the operations and procedures of DTC, Euroclear System (</w:t>
      </w:r>
      <w:r>
        <w:rPr>
          <w:rFonts w:ascii="Times New Roman" w:hAnsi="Times New Roman"/>
          <w:i/>
          <w:sz w:val="20"/>
        </w:rPr>
        <w:t>Euroclear</w:t>
      </w:r>
      <w:r>
        <w:rPr>
          <w:rFonts w:ascii="Times New Roman" w:hAnsi="Times New Roman"/>
          <w:sz w:val="20"/>
        </w:rPr>
        <w:t>) and Clearstream Banking, S.A. (</w:t>
      </w:r>
      <w:r>
        <w:rPr>
          <w:rFonts w:ascii="Times New Roman" w:hAnsi="Times New Roman"/>
          <w:i/>
          <w:sz w:val="20"/>
        </w:rPr>
        <w:t>Clearstream</w:t>
      </w:r>
      <w:r>
        <w:rPr>
          <w:rFonts w:ascii="Times New Roman" w:hAnsi="Times New Roman"/>
          <w:sz w:val="20"/>
        </w:rPr>
        <w:t xml:space="preserve">)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DTC has advised the Issuers that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for its participating organizations (collectively, the </w:t>
      </w:r>
      <w:r>
        <w:rPr>
          <w:rFonts w:ascii="Times New Roman" w:hAnsi="Times New Roman"/>
          <w:i/>
          <w:sz w:val="20"/>
        </w:rPr>
        <w:t>Participants</w:t>
      </w:r>
      <w:r>
        <w:rPr>
          <w:rFonts w:ascii="Times New Roman" w:hAnsi="Times New Roman"/>
          <w:sz w:val="20"/>
        </w:rPr>
        <w:t>) and to facilitate the clearance and settlement of transactions in those securities among Participants through electronic book-entry changes in accounts of its Participants, thereby eliminating the need for physical movement of securities certificates.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w:t>
      </w:r>
      <w:r>
        <w:rPr>
          <w:rFonts w:ascii="Times New Roman" w:hAnsi="Times New Roman"/>
          <w:i/>
          <w:sz w:val="20"/>
        </w:rPr>
        <w:t>Indirect Participants</w:t>
      </w:r>
      <w:r>
        <w:rPr>
          <w:rFonts w:ascii="Times New Roman" w:hAnsi="Times New Roman"/>
          <w:sz w:val="20"/>
        </w:rPr>
        <w:t xml:space="preserve">).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the Issuers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Participants designated by the underwriters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Investors in the Global Notes who are Participants in DTCs system may hold their interests therein directly through DTC. Investors in the Global Notes who are not Participants may hold their interests therein indirectly through organizations (including Euroclear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and Clearstream) which are Participants in such system. Euroclear and Clearstream may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owners of an interest in the Global Notes will not have notes registered in their names, will not receive physical delivery of Certificated Notes and will not be considered the registered owners or holders thereof under the Indenture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Payments in respect of the principal of, and interest and premium, if any, on a Global Note registered in the name of DTC or its nominee are payable to DTC in its capacity as the registered holder under the Indenture. Under the terms of the Indenture, the Issuers and the trustee are required to treat the persons in whose names the Notes, including the Global Notes, are registered as the owners of such notes for the purpose of receiving payments and for all other purposes. Consequently, none of the Issuers, the trustee or any agent of the Issuers or the trustee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DTC has advised the Issuers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or any of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Global Notes for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A Global Note is exchangeable for Certificated Notes in minimum denominations of $2,000 and in integral multiples of $1,000 in excess thereof,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(a) notifies the Issuers that it is unwilling or unable to continue as depositary for the Global Notes or (b) has ceased to be a clearing agency registered under the Exchange Act and in either event the Issuers fail to appoint a successor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Issuers in their sole discretion determines that such Global Note shall be exchangeable;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occurred and is continuing an Event of Default. 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Exchange of Certificated Notes for Global Notes </w:t>
      </w:r>
    </w:p>
    <w:p>
      <w:pPr>
        <w:pStyle w:val="TextBody"/>
        <w:bidi w:val="0"/>
        <w:spacing w:before="120" w:after="0"/>
        <w:jc w:val="left"/>
        <w:rPr>
          <w:rFonts w:ascii="Times New Roman" w:hAnsi="Times New Roman"/>
          <w:sz w:val="20"/>
        </w:rPr>
      </w:pPr>
      <w:r>
        <w:rPr>
          <w:rFonts w:ascii="Times New Roman" w:hAnsi="Times New Roman"/>
          <w:sz w:val="20"/>
        </w:rPr>
        <w:t xml:space="preserve">Certificated Notes may not be exchanged for beneficial interests in any Global Note unless the transferor first delivers to the Trustee a written certificate (in the form provided in the indenture governing the notes) to the effect that such transfer will comply with the appropriate transfer restrictions applicable to such Notes.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Among Global Notes </w:t>
      </w:r>
    </w:p>
    <w:p>
      <w:pPr>
        <w:pStyle w:val="TextBody"/>
        <w:bidi w:val="0"/>
        <w:spacing w:before="12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which rules and procedures may change from time to time.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Same 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The Issuers will make payments in respect of the Notes represented by the Global Notes (including principal, premium, if any, and interest) by wire transfer of immediately available funds to the accounts specified by the Global Note holder.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 zone differences, the securities account of an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an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94185_8"/>
      <w:bookmarkEnd w:id="10"/>
      <w:r>
        <w:rPr>
          <w:rFonts w:ascii="Times New Roman" w:hAnsi="Times New Roman"/>
          <w:b/>
          <w:sz w:val="20"/>
        </w:rPr>
        <w:t xml:space="preserve">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Taxation in the Netherlands </w:t>
      </w:r>
    </w:p>
    <w:p>
      <w:pPr>
        <w:pStyle w:val="TextBody"/>
        <w:bidi w:val="0"/>
        <w:spacing w:before="120" w:after="0"/>
        <w:jc w:val="left"/>
        <w:rPr>
          <w:rFonts w:ascii="Times New Roman" w:hAnsi="Times New Roman"/>
          <w:sz w:val="20"/>
        </w:rPr>
      </w:pPr>
      <w:r>
        <w:rPr>
          <w:rFonts w:ascii="Times New Roman" w:hAnsi="Times New Roman"/>
          <w:sz w:val="20"/>
        </w:rPr>
        <w:t>This section outlines the principal Dutch tax consequences of the acquisition, holding, settlement, redemption and disposal of the Notes. It does not present a comprehensive or complete description of all aspects of Dutch tax law which could be relevant to a holder of Notes (a </w:t>
      </w:r>
      <w:r>
        <w:rPr>
          <w:rFonts w:ascii="Times New Roman" w:hAnsi="Times New Roman"/>
          <w:i/>
          <w:sz w:val="20"/>
        </w:rPr>
        <w:t>Noteholder</w:t>
      </w:r>
      <w:r>
        <w:rPr>
          <w:rFonts w:ascii="Times New Roman" w:hAnsi="Times New Roman"/>
          <w:sz w:val="20"/>
        </w:rPr>
        <w:t xml:space="preserve">). For Dutch tax purposes, a Noteholder may include an individual or entity not holding the legal title to the Notes, but to whom or to which, the Notes are, or the income from the Notes is, nevertheless attributed based either on this individual or entity owning a beneficial interest in the Notes or on specific statutory provisions. These include statutory provisions attributing Notes to an individual who is, or who has directly or indirectly inherited from a person who was, the settlor, grantor or similar originator of a trust, foundation or similar entity that holds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is intended as general information only. Prospective Noteholders should consult their own tax adviser regarding the tax consequences of any acquisition, holding or disposal of Notes.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is based on Dutch tax law as applied and interpreted by Dutch tax courts and as published and in effect on the date of this prospectus supplement, including the tax rates applicable on that date, without prejudice to any amendments introduced at a later date and implemented with or without retroactive effect. </w:t>
      </w:r>
    </w:p>
    <w:p>
      <w:pPr>
        <w:pStyle w:val="TextBody"/>
        <w:bidi w:val="0"/>
        <w:spacing w:before="240" w:after="0"/>
        <w:jc w:val="left"/>
        <w:rPr>
          <w:rFonts w:ascii="Times New Roman" w:hAnsi="Times New Roman"/>
          <w:sz w:val="20"/>
        </w:rPr>
      </w:pPr>
      <w:r>
        <w:rPr>
          <w:rFonts w:ascii="Times New Roman" w:hAnsi="Times New Roman"/>
          <w:sz w:val="20"/>
        </w:rPr>
        <w:t xml:space="preserve">Any reference in this section made to Dutch taxes, Dutch tax or Dutch tax law should be construed as a reference to any taxes of any nature levied by or on behalf of the Netherlands or any of its subdivisions or taxing authorities or to the law governing such taxes, respectively. The Netherlands means the part of the Kingdom of the Netherlands located in Europe. </w:t>
      </w:r>
    </w:p>
    <w:p>
      <w:pPr>
        <w:pStyle w:val="TextBody"/>
        <w:bidi w:val="0"/>
        <w:spacing w:before="240" w:after="0"/>
        <w:jc w:val="left"/>
        <w:rPr>
          <w:rFonts w:ascii="Times New Roman" w:hAnsi="Times New Roman"/>
          <w:sz w:val="20"/>
        </w:rPr>
      </w:pPr>
      <w:r>
        <w:rPr>
          <w:rFonts w:ascii="Times New Roman" w:hAnsi="Times New Roman"/>
          <w:sz w:val="20"/>
        </w:rPr>
        <w:t xml:space="preserve">This section does not describe any Dutch tax considerations or consequences that may be relevant where a Noteholder: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individual and the Noteholders income or capital gains derived from the Notes are attributable to employment activities, the income from which is taxable in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has a substantial interest (</w:t>
            </w:r>
            <w:r>
              <w:rPr>
                <w:rFonts w:ascii="Times New Roman" w:hAnsi="Times New Roman"/>
                <w:i/>
                <w:sz w:val="20"/>
              </w:rPr>
              <w:t>aanmerkelijk belang</w:t>
            </w:r>
            <w:r>
              <w:rPr>
                <w:rFonts w:ascii="Times New Roman" w:hAnsi="Times New Roman"/>
                <w:sz w:val="20"/>
              </w:rPr>
              <w:t>) or a fictitious substantial interest (</w:t>
            </w:r>
            <w:r>
              <w:rPr>
                <w:rFonts w:ascii="Times New Roman" w:hAnsi="Times New Roman"/>
                <w:i/>
                <w:sz w:val="20"/>
              </w:rPr>
              <w:t>fictief aanmerkelijk belang</w:t>
            </w:r>
            <w:r>
              <w:rPr>
                <w:rFonts w:ascii="Times New Roman" w:hAnsi="Times New Roman"/>
                <w:sz w:val="20"/>
              </w:rPr>
              <w:t>) in any Issuer within the meaning of Chapter 4 of the Dutch Income Tax Act 2001 (</w:t>
            </w:r>
            <w:r>
              <w:rPr>
                <w:rFonts w:ascii="Times New Roman" w:hAnsi="Times New Roman"/>
                <w:i/>
                <w:sz w:val="20"/>
              </w:rPr>
              <w:t>Wet inkomstenbelasting 2001</w:t>
            </w:r>
            <w:r>
              <w:rPr>
                <w:rFonts w:ascii="Times New Roman" w:hAnsi="Times New Roman"/>
                <w:sz w:val="20"/>
              </w:rPr>
              <w:t>). Generally, a Noteholder has a substantial interest in an Issuer if the Noteholder, alone orin the case of an individualtogether with a partner for Dutch tax purposes, or any relative by blood or by marriage in the ascending or descending line (including foster-children) of the Noteholder or the Partner, owns or holds, or is deemed to own or hold, any shares or certain rights to any shares, including rights to directly or indirectly acquire any shares, directly or indirectly representing 5 percent or more of that Issuers issued capital as a whole or of any class of shares or profit participating certificates (</w:t>
            </w:r>
            <w:r>
              <w:rPr>
                <w:rFonts w:ascii="Times New Roman" w:hAnsi="Times New Roman"/>
                <w:i/>
                <w:sz w:val="20"/>
              </w:rPr>
              <w:t>winstbewijzen</w:t>
            </w:r>
            <w:r>
              <w:rPr>
                <w:rFonts w:ascii="Times New Roman" w:hAnsi="Times New Roman"/>
                <w:sz w:val="20"/>
              </w:rPr>
              <w:t xml:space="preserve">) relating to 5 percent or more of the Issuers annual profits or 5 percent or more of the Issuers liquidation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an entity that, although it is in principle subject to Dutch corporate income tax under the Dutch Corporate Income Tax Act 1969 (</w:t>
            </w:r>
            <w:r>
              <w:rPr>
                <w:rFonts w:ascii="Times New Roman" w:hAnsi="Times New Roman"/>
                <w:i/>
                <w:sz w:val="20"/>
              </w:rPr>
              <w:t>Wet op de vennootschapsbelasting 1969</w:t>
            </w:r>
            <w:r>
              <w:rPr>
                <w:rFonts w:ascii="Times New Roman" w:hAnsi="Times New Roman"/>
                <w:sz w:val="20"/>
              </w:rPr>
              <w:t>) (the </w:t>
            </w:r>
            <w:r>
              <w:rPr>
                <w:rFonts w:ascii="Times New Roman" w:hAnsi="Times New Roman"/>
                <w:i/>
                <w:sz w:val="20"/>
              </w:rPr>
              <w:t>CITA</w:t>
            </w:r>
            <w:r>
              <w:rPr>
                <w:rFonts w:ascii="Times New Roman" w:hAnsi="Times New Roman"/>
                <w:sz w:val="20"/>
              </w:rPr>
              <w:t>) is not subject to Dutch corporate income tax or is fully or partly exempt from Dutch corporate income tax (such as a qualifying pension fund as described in Section 5 CITA and a tax exempt investment fund (</w:t>
            </w:r>
            <w:r>
              <w:rPr>
                <w:rFonts w:ascii="Times New Roman" w:hAnsi="Times New Roman"/>
                <w:i/>
                <w:sz w:val="20"/>
              </w:rPr>
              <w:t>vrijgestelde beleggingsinstelling</w:t>
            </w:r>
            <w:r>
              <w:rPr>
                <w:rFonts w:ascii="Times New Roman" w:hAnsi="Times New Roman"/>
                <w:sz w:val="20"/>
              </w:rPr>
              <w:t>) as described in Section 6a CITA), or is an entity that is not tax resident in the Netherlands and functions in a manner that is comparable to a tax exempt investment fund (</w:t>
            </w:r>
            <w:r>
              <w:rPr>
                <w:rFonts w:ascii="Times New Roman" w:hAnsi="Times New Roman"/>
                <w:i/>
                <w:sz w:val="20"/>
              </w:rPr>
              <w:t>vrijgestelde beleggingsinstelling</w:t>
            </w:r>
            <w:r>
              <w:rPr>
                <w:rFonts w:ascii="Times New Roman" w:hAnsi="Times New Roman"/>
                <w:sz w:val="20"/>
              </w:rPr>
              <w:t xml:space="preserve">) as described in Section 6a CITA;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an investment institution (</w:t>
            </w:r>
            <w:r>
              <w:rPr>
                <w:rFonts w:ascii="Times New Roman" w:hAnsi="Times New Roman"/>
                <w:i/>
                <w:sz w:val="20"/>
              </w:rPr>
              <w:t>beleggingsinstelling</w:t>
            </w:r>
            <w:r>
              <w:rPr>
                <w:rFonts w:ascii="Times New Roman" w:hAnsi="Times New Roman"/>
                <w:sz w:val="20"/>
              </w:rPr>
              <w:t>) as described in Section 28 CITA, or is an entity that is not tax resident in the Netherlands and functions in a manner that is comparable to an investment institution (</w:t>
            </w:r>
            <w:r>
              <w:rPr>
                <w:rFonts w:ascii="Times New Roman" w:hAnsi="Times New Roman"/>
                <w:i/>
                <w:sz w:val="20"/>
              </w:rPr>
              <w:t>beleggingsinstelling</w:t>
            </w:r>
            <w:r>
              <w:rPr>
                <w:rFonts w:ascii="Times New Roman" w:hAnsi="Times New Roman"/>
                <w:sz w:val="20"/>
              </w:rPr>
              <w:t xml:space="preserve">) as described in Section 28 CITA;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an entity that is related (</w:t>
            </w:r>
            <w:r>
              <w:rPr>
                <w:rFonts w:ascii="Times New Roman" w:hAnsi="Times New Roman"/>
                <w:i/>
                <w:sz w:val="20"/>
              </w:rPr>
              <w:t>gelieerd</w:t>
            </w:r>
            <w:r>
              <w:rPr>
                <w:rFonts w:ascii="Times New Roman" w:hAnsi="Times New Roman"/>
                <w:sz w:val="20"/>
              </w:rPr>
              <w:t>) to the Company within the meaning of the Dutch Withholding Tax Act 2021 (</w:t>
            </w:r>
            <w:r>
              <w:rPr>
                <w:rFonts w:ascii="Times New Roman" w:hAnsi="Times New Roman"/>
                <w:i/>
                <w:sz w:val="20"/>
              </w:rPr>
              <w:t>Wet Bronbelasting 2021</w:t>
            </w:r>
            <w:r>
              <w:rPr>
                <w:rFonts w:ascii="Times New Roman" w:hAnsi="Times New Roman"/>
                <w:sz w:val="20"/>
              </w:rPr>
              <w:t xml:space="preserve">). An entity is considered related if (i) it holds, directly or indirectly,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a Qualifying Interest in the Company, (ii) the Company, directly or indirectly, holds a Qualifying Interest in the Noteholder, or (iii) a third party holds, directly or indirectly, a Qualifying Interest in both the Company and the Noteholder. The term </w:t>
            </w:r>
            <w:r>
              <w:rPr>
                <w:i/>
              </w:rPr>
              <w:t>Qualifying Interest</w:t>
            </w:r>
            <w:r>
              <w:rPr/>
              <w:t> means a directly or indirectly held interesteither by an entity individually or jointly if an entity is part of a Qualifying Unity (</w:t>
            </w:r>
            <w:r>
              <w:rPr>
                <w:i/>
              </w:rPr>
              <w:t>kwalificerende eenheid</w:t>
            </w:r>
            <w:r>
              <w:rPr/>
              <w:t xml:space="preserve">)that enables such entity or such Qualifying Unity to exercise a definite influence over another entities decisions, such as the Company or the Noteholder as the case may be, and allows it to determine the other entities activities. The term Qualifying Unity means a cooperation between entities that has as the main purpose or one of the main purposes the avoidance of Dutch withholding tax levied pursuant to the Dutch Withholding Tax Act 2021;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part of a multinational enterprise group or large-scale domestic group within the meaning of the Dutch Minimum Tax Act 2024 (</w:t>
            </w:r>
            <w:r>
              <w:rPr>
                <w:rFonts w:ascii="Times New Roman" w:hAnsi="Times New Roman"/>
                <w:i/>
                <w:sz w:val="20"/>
              </w:rPr>
              <w:t>Wet minimumbelasting 2024</w:t>
            </w:r>
            <w:r>
              <w:rPr>
                <w:rFonts w:ascii="Times New Roman" w:hAnsi="Times New Roman"/>
                <w:sz w:val="20"/>
              </w:rPr>
              <w:t xml:space="preserve">; the Dutch implementation of Directive (EU) 2022/2523 of 14 December 2022 on ensuring a global minimum level of taxation for multinational enterprise groups and large-scale domestic groups in the European Union).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Any payments made under the Notes will not be subject to withholding or deduction for, or on account of, any Dutch Taxes.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Taxes on Income and Capital Gains </w:t>
      </w:r>
    </w:p>
    <w:p>
      <w:pPr>
        <w:pStyle w:val="TextBody"/>
        <w:bidi w:val="0"/>
        <w:spacing w:before="120" w:after="0"/>
        <w:jc w:val="left"/>
        <w:rPr>
          <w:rFonts w:ascii="Times New Roman" w:hAnsi="Times New Roman"/>
          <w:i/>
          <w:sz w:val="20"/>
        </w:rPr>
      </w:pPr>
      <w:r>
        <w:rPr>
          <w:rFonts w:ascii="Times New Roman" w:hAnsi="Times New Roman"/>
          <w:i/>
          <w:sz w:val="20"/>
        </w:rPr>
        <w:t xml:space="preserve">Residents of the Netherlands </w:t>
      </w:r>
    </w:p>
    <w:p>
      <w:pPr>
        <w:pStyle w:val="TextBody"/>
        <w:bidi w:val="0"/>
        <w:spacing w:before="120" w:after="0"/>
        <w:jc w:val="left"/>
        <w:rPr>
          <w:rFonts w:ascii="Times New Roman" w:hAnsi="Times New Roman"/>
          <w:sz w:val="20"/>
        </w:rPr>
      </w:pPr>
      <w:r>
        <w:rPr>
          <w:rFonts w:ascii="Times New Roman" w:hAnsi="Times New Roman"/>
          <w:sz w:val="20"/>
        </w:rPr>
        <w:t xml:space="preserve">The description of certain Dutch tax consequences in this section is only intended for the following Noteholders: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individuals who are resident or deemed to be resident in the Netherlands (</w:t>
            </w:r>
            <w:r>
              <w:rPr>
                <w:rFonts w:ascii="Times New Roman" w:hAnsi="Times New Roman"/>
                <w:i/>
                <w:sz w:val="20"/>
              </w:rPr>
              <w:t>Dutch Resident Individuals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entities or enterprises that are subject to the CITA and are resident or deemed to be resident in the Netherlands (</w:t>
            </w:r>
            <w:r>
              <w:rPr>
                <w:rFonts w:ascii="Times New Roman" w:hAnsi="Times New Roman"/>
                <w:i/>
                <w:sz w:val="20"/>
              </w:rPr>
              <w:t>Dutch Resident Corporate Entities</w:t>
            </w:r>
            <w:r>
              <w:rPr>
                <w:rFonts w:ascii="Times New Roman" w:hAnsi="Times New Roman"/>
                <w:sz w:val="20"/>
              </w:rPr>
              <w:t xml:space="preser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Dutch Resident Individuals engaged or deemed to be engaged in an enterprise or in miscellaneous activities </w:t>
      </w:r>
    </w:p>
    <w:p>
      <w:pPr>
        <w:pStyle w:val="TextBody"/>
        <w:bidi w:val="0"/>
        <w:spacing w:before="120" w:after="0"/>
        <w:jc w:val="left"/>
        <w:rPr>
          <w:rFonts w:ascii="Times New Roman" w:hAnsi="Times New Roman"/>
          <w:sz w:val="20"/>
        </w:rPr>
      </w:pPr>
      <w:r>
        <w:rPr>
          <w:rFonts w:ascii="Times New Roman" w:hAnsi="Times New Roman"/>
          <w:sz w:val="20"/>
        </w:rPr>
        <w:t>Dutch Resident Individuals engaged or deemed to be engaged in an enterprise (</w:t>
      </w:r>
      <w:r>
        <w:rPr>
          <w:rFonts w:ascii="Times New Roman" w:hAnsi="Times New Roman"/>
          <w:i/>
          <w:sz w:val="20"/>
        </w:rPr>
        <w:t>winst uit onderneming</w:t>
      </w:r>
      <w:r>
        <w:rPr>
          <w:rFonts w:ascii="Times New Roman" w:hAnsi="Times New Roman"/>
          <w:sz w:val="20"/>
        </w:rPr>
        <w:t>) or in miscellaneous activities (</w:t>
      </w:r>
      <w:r>
        <w:rPr>
          <w:rFonts w:ascii="Times New Roman" w:hAnsi="Times New Roman"/>
          <w:i/>
          <w:sz w:val="20"/>
        </w:rPr>
        <w:t>resultaat uit overige werkzaamheden</w:t>
      </w:r>
      <w:r>
        <w:rPr>
          <w:rFonts w:ascii="Times New Roman" w:hAnsi="Times New Roman"/>
          <w:sz w:val="20"/>
        </w:rPr>
        <w:t xml:space="preserve">) are generally subject to income tax at statutory progressive rates with a maximum of 49.50 percent on any benefits derived or deemed to be derived from the Notes, including any capital gains realized on any disposal of the Notes, where those benefits are attributable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 enterprise from which a Dutch Resident Individual derives profits, whether as an entrepreneur (</w:t>
            </w:r>
            <w:r>
              <w:rPr>
                <w:rFonts w:ascii="Times New Roman" w:hAnsi="Times New Roman"/>
                <w:i/>
                <w:sz w:val="20"/>
              </w:rPr>
              <w:t>ondernemer</w:t>
            </w:r>
            <w:r>
              <w:rPr>
                <w:rFonts w:ascii="Times New Roman" w:hAnsi="Times New Roman"/>
                <w:sz w:val="20"/>
              </w:rPr>
              <w:t>) or by being co-entitled (</w:t>
            </w:r>
            <w:r>
              <w:rPr>
                <w:rFonts w:ascii="Times New Roman" w:hAnsi="Times New Roman"/>
                <w:i/>
                <w:sz w:val="20"/>
              </w:rPr>
              <w:t>medegerechtigde</w:t>
            </w:r>
            <w:r>
              <w:rPr>
                <w:rFonts w:ascii="Times New Roman" w:hAnsi="Times New Roman"/>
                <w:sz w:val="20"/>
              </w:rPr>
              <w:t xml:space="preserve">) to the net worth of this enterprise other than as an entrepreneur or shareholder;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activities, including activities which are beyond the scope of active portfolio investment activities (</w:t>
            </w:r>
            <w:r>
              <w:rPr>
                <w:rFonts w:ascii="Times New Roman" w:hAnsi="Times New Roman"/>
                <w:i/>
                <w:sz w:val="20"/>
              </w:rPr>
              <w:t>meer dan normaal vermogensbeheer</w:t>
            </w:r>
            <w:r>
              <w:rPr>
                <w:rFonts w:ascii="Times New Roman" w:hAnsi="Times New Roman"/>
                <w:sz w:val="20"/>
              </w:rPr>
              <w:t xml:space="preser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Dutch Resident Individuals not engaged or deemed to be engaged in an enterprise or in miscellaneous activities </w:t>
      </w:r>
    </w:p>
    <w:p>
      <w:pPr>
        <w:pStyle w:val="TextBody"/>
        <w:bidi w:val="0"/>
        <w:spacing w:before="120" w:after="0"/>
        <w:jc w:val="left"/>
        <w:rPr>
          <w:rFonts w:ascii="Times New Roman" w:hAnsi="Times New Roman"/>
          <w:sz w:val="20"/>
        </w:rPr>
      </w:pPr>
      <w:r>
        <w:rPr>
          <w:rFonts w:ascii="Times New Roman" w:hAnsi="Times New Roman"/>
          <w:sz w:val="20"/>
        </w:rPr>
        <w:t>Generally, Notes held by a Dutch Resident Individual who is not engaged or deemed to be engaged in an enterprise or in miscellaneous activities, or who is so engaged or deemed to be engaged but the Notes are not attributable to that enterprise or miscellaneous activities, will be subject to an annual income tax imposed on the basis of a fictitious yield percentage applied to the fair market value of the Notes on January 1 of each calendar year under the regime for savings and investments (</w:t>
      </w:r>
      <w:r>
        <w:rPr>
          <w:rFonts w:ascii="Times New Roman" w:hAnsi="Times New Roman"/>
          <w:i/>
          <w:sz w:val="20"/>
        </w:rPr>
        <w:t>inkomen uit sparen en beleggen</w:t>
      </w:r>
      <w:r>
        <w:rPr>
          <w:rFonts w:ascii="Times New Roman" w:hAnsi="Times New Roman"/>
          <w:sz w:val="20"/>
        </w:rPr>
        <w:t xml:space="preserve">). The annual taxable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a Dutch Resident Individuals assets and liabilities taxed under this regime, including the Notes, is based on fictitious percentages, subject to rebuttal by the Dutch Resident Individual as described below, applied to the fair market value of (i) bank savings, (ii) other assets, including the Notes, and (iii) liabilities. </w:t>
      </w:r>
    </w:p>
    <w:p>
      <w:pPr>
        <w:pStyle w:val="TextBody"/>
        <w:bidi w:val="0"/>
        <w:spacing w:before="240" w:after="0"/>
        <w:jc w:val="left"/>
        <w:rPr>
          <w:rFonts w:ascii="Times New Roman" w:hAnsi="Times New Roman"/>
          <w:sz w:val="20"/>
        </w:rPr>
      </w:pPr>
      <w:r>
        <w:rPr>
          <w:rFonts w:ascii="Times New Roman" w:hAnsi="Times New Roman"/>
          <w:sz w:val="20"/>
        </w:rPr>
        <w:t>Taxation only occurs if and to the extent the sum of the fair market value of bank savings and other assets minus the fair market value of the liabilities exceeds a certain threshold (</w:t>
      </w:r>
      <w:r>
        <w:rPr>
          <w:rFonts w:ascii="Times New Roman" w:hAnsi="Times New Roman"/>
          <w:i/>
          <w:sz w:val="20"/>
        </w:rPr>
        <w:t>heffingvrij vermogen</w:t>
      </w:r>
      <w:r>
        <w:rPr>
          <w:rFonts w:ascii="Times New Roman" w:hAnsi="Times New Roman"/>
          <w:sz w:val="20"/>
        </w:rPr>
        <w:t xml:space="preserve">). The tax rate under the regime for savings and investments is a flat rate of 36 %. </w:t>
      </w:r>
    </w:p>
    <w:p>
      <w:pPr>
        <w:pStyle w:val="TextBody"/>
        <w:bidi w:val="0"/>
        <w:spacing w:before="240" w:after="0"/>
        <w:jc w:val="left"/>
        <w:rPr>
          <w:rFonts w:ascii="Times New Roman" w:hAnsi="Times New Roman"/>
          <w:sz w:val="20"/>
        </w:rPr>
      </w:pPr>
      <w:r>
        <w:rPr>
          <w:rFonts w:ascii="Times New Roman" w:hAnsi="Times New Roman"/>
          <w:sz w:val="20"/>
        </w:rPr>
        <w:t xml:space="preserve">For the calendar year 2025, the fictitious percentages applicable to the first and third category mentioned above (bank savings and liabilities) have not yet been determined. The fictitious yield percentage applicable to the second category mentioned above (other assets, including the Notes) is 5.88 % for the calendar year 2025. </w:t>
      </w:r>
    </w:p>
    <w:p>
      <w:pPr>
        <w:pStyle w:val="TextBody"/>
        <w:bidi w:val="0"/>
        <w:spacing w:before="240" w:after="0"/>
        <w:jc w:val="left"/>
        <w:rPr>
          <w:rFonts w:ascii="Times New Roman" w:hAnsi="Times New Roman"/>
          <w:sz w:val="20"/>
        </w:rPr>
      </w:pPr>
      <w:r>
        <w:rPr>
          <w:rFonts w:ascii="Times New Roman" w:hAnsi="Times New Roman"/>
          <w:sz w:val="20"/>
        </w:rPr>
        <w:t xml:space="preserve">Certain transactions that have the effect of reducing the fictitious yield by shifting assets between the aforementioned categories (i) and (ii) or increasing liabilities in any three months period starting before and ending after 1 January of the relevant year will for this purpose be ignored unless the Noteholder can demonstrate that such transactions are implemented for other reasons than tax reasons.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decisions of the Dutch Supreme Court that the regime for savings and investments under specific circumstances may be incompatible with the European Convention on Human Rights, a law entered into force on July 19, 2025, introducing a rebuttal scheme for taxpayers with retroactive effect, partially to January 1, 2017 and partially to January 1, 2023. A taxpayer has the possibility to rebut the applicable fictitious yield if the actual yield (determined in accordance with the specific rules set out in the aforementioned law) in a certain year is lower. The mere value increase of assets, such as the unrealized capital gains on shares, is also considered a realized yield for the application of the rebuttal scheme. If a taxpayer succeeds in its rebuttal, for which it needs to fill out a form that the Dutch tax authorities made available, taxation under the regime for savings and investments is only due in respect of the actual yield realized in the relevant year. The rebuttal scheme is an interim solution for the period until a new regime for taxation of savings and investments is adopted, which is expected to be as of January 1, 2028. Noteholders are advised to consult their own tax adviser regarding the use of the rebuttal scheme and to ensure that tax is levied in line with the decisions of the Dutch Supreme Court. </w:t>
      </w:r>
    </w:p>
    <w:p>
      <w:pPr>
        <w:pStyle w:val="TextBody"/>
        <w:bidi w:val="0"/>
        <w:spacing w:before="360" w:after="0"/>
        <w:jc w:val="left"/>
        <w:rPr>
          <w:rFonts w:ascii="Times New Roman" w:hAnsi="Times New Roman"/>
          <w:i/>
          <w:sz w:val="20"/>
        </w:rPr>
      </w:pPr>
      <w:r>
        <w:rPr>
          <w:rFonts w:ascii="Times New Roman" w:hAnsi="Times New Roman"/>
          <w:i/>
          <w:sz w:val="20"/>
        </w:rPr>
        <w:t xml:space="preserve">Dutch Resident Corporate Entities </w:t>
      </w:r>
    </w:p>
    <w:p>
      <w:pPr>
        <w:pStyle w:val="TextBody"/>
        <w:bidi w:val="0"/>
        <w:spacing w:before="120" w:after="0"/>
        <w:jc w:val="left"/>
        <w:rPr>
          <w:rFonts w:ascii="Times New Roman" w:hAnsi="Times New Roman"/>
          <w:sz w:val="20"/>
        </w:rPr>
      </w:pPr>
      <w:r>
        <w:rPr>
          <w:rFonts w:ascii="Times New Roman" w:hAnsi="Times New Roman"/>
          <w:sz w:val="20"/>
        </w:rPr>
        <w:t xml:space="preserve">Dutch Resident Corporate Entities are generally subject to corporate income tax at statutory rates up to 25.8 percent on any benefits derived or deemed to be derived from the Notes, including any capital gains realized on their disposal. </w:t>
      </w:r>
    </w:p>
    <w:p>
      <w:pPr>
        <w:pStyle w:val="TextBody"/>
        <w:bidi w:val="0"/>
        <w:spacing w:before="360" w:after="0"/>
        <w:jc w:val="left"/>
        <w:rPr>
          <w:rFonts w:ascii="Times New Roman" w:hAnsi="Times New Roman"/>
          <w:i/>
          <w:sz w:val="20"/>
        </w:rPr>
      </w:pPr>
      <w:r>
        <w:rPr>
          <w:rFonts w:ascii="Times New Roman" w:hAnsi="Times New Roman"/>
          <w:i/>
          <w:sz w:val="20"/>
        </w:rPr>
        <w:t xml:space="preserve">Non-Residents of the Netherlands </w:t>
      </w:r>
    </w:p>
    <w:p>
      <w:pPr>
        <w:pStyle w:val="TextBody"/>
        <w:bidi w:val="0"/>
        <w:spacing w:before="120" w:after="0"/>
        <w:jc w:val="left"/>
        <w:rPr>
          <w:rFonts w:ascii="Times New Roman" w:hAnsi="Times New Roman"/>
          <w:sz w:val="20"/>
        </w:rPr>
      </w:pPr>
      <w:r>
        <w:rPr>
          <w:rFonts w:ascii="Times New Roman" w:hAnsi="Times New Roman"/>
          <w:sz w:val="20"/>
        </w:rPr>
        <w:t xml:space="preserve">The description of certain Dutch tax consequences in this section is only intended for the following Noteholders: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individuals who are not resident and not deemed to be resident in the Netherlands (</w:t>
            </w:r>
            <w:r>
              <w:rPr>
                <w:rFonts w:ascii="Times New Roman" w:hAnsi="Times New Roman"/>
                <w:i/>
                <w:sz w:val="20"/>
              </w:rPr>
              <w:t>Non-Dutch Resident Individuals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entities that are not resident and not deemed to be resident in the Netherlands (</w:t>
            </w:r>
            <w:r>
              <w:rPr>
                <w:rFonts w:ascii="Times New Roman" w:hAnsi="Times New Roman"/>
                <w:i/>
                <w:sz w:val="20"/>
              </w:rPr>
              <w:t>Non-Dutch Resident Corporate Entities</w:t>
            </w:r>
            <w:r>
              <w:rPr>
                <w:rFonts w:ascii="Times New Roman" w:hAnsi="Times New Roman"/>
                <w:sz w:val="20"/>
              </w:rPr>
              <w:t xml:space="preser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Non-Dutch Resident Individuals </w:t>
      </w:r>
    </w:p>
    <w:p>
      <w:pPr>
        <w:pStyle w:val="TextBody"/>
        <w:bidi w:val="0"/>
        <w:spacing w:before="120" w:after="0"/>
        <w:jc w:val="left"/>
        <w:rPr>
          <w:rFonts w:ascii="Times New Roman" w:hAnsi="Times New Roman"/>
          <w:sz w:val="20"/>
        </w:rPr>
      </w:pPr>
      <w:r>
        <w:rPr>
          <w:rFonts w:ascii="Times New Roman" w:hAnsi="Times New Roman"/>
          <w:sz w:val="20"/>
        </w:rPr>
        <w:t xml:space="preserve">A Non-Dutch Resident Individual will not be subject to any Dutch taxes on income or capital gains derived from the purchase, ownership and disposal or transfer of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Non-Dutch Resident Individual derives profits from an enterprise, whether as entrepreneur or by being co-entitled to the net worth of this enterprise other than as an entrepreneur or shareholder,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this enterprise is fully or partly carried on through a permanent establishment (</w:t>
            </w:r>
            <w:r>
              <w:rPr>
                <w:i/>
              </w:rPr>
              <w:t>vaste inrichting</w:t>
            </w:r>
            <w:r>
              <w:rPr/>
              <w:t>) or a permanent representative (</w:t>
            </w:r>
            <w:r>
              <w:rPr>
                <w:i/>
              </w:rPr>
              <w:t>vaste vertegenwoordiger</w:t>
            </w:r>
            <w:r>
              <w:rPr/>
              <w:t xml:space="preserve">) in the Netherlands, to which the Notes are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Non-Dutch Resident Individual derives benefits from miscellaneous activities carried on in the Netherlands in respect of the Notes, including activities which are beyond the scope of active portfolio investment activities;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Non-Dutch Resident Individual is entitled to a shareother than by way of securitiesin the profits of an enterprise, which is effectively managed in the Netherlands and to which the Notes are attributable.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Non-Dutch Resident Corporate Entities </w:t>
      </w:r>
    </w:p>
    <w:p>
      <w:pPr>
        <w:pStyle w:val="TextBody"/>
        <w:bidi w:val="0"/>
        <w:spacing w:before="120" w:after="0"/>
        <w:jc w:val="left"/>
        <w:rPr>
          <w:rFonts w:ascii="Times New Roman" w:hAnsi="Times New Roman"/>
          <w:sz w:val="20"/>
        </w:rPr>
      </w:pPr>
      <w:r>
        <w:rPr>
          <w:rFonts w:ascii="Times New Roman" w:hAnsi="Times New Roman"/>
          <w:sz w:val="20"/>
        </w:rPr>
        <w:t xml:space="preserve">A Non-Dutch Resident Corporate Entity will not be subject to any Dutch taxes on income or capital gains derived from the purchase, ownership and disposal or transfer of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Non-Dutch Resident Corporate Entity derives profits from an enterprise, which is fully or partly carried on through a permanent establishment or a permanent representative in the Netherlands to which the Notes are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Non-Dutch Resident Corporate Entity is entitled to a shareother than by way of securitiesin the profits of an enterprise or a co-entitlement to the net worth of an enterprise, which is effectively managed in the Netherlands and to which the Notes are attributable.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specific circumstances, treaties for the avoidance of double taxation may restrict the extent to which Non-Dutch Resident Individuals and Non-Dutch Resident Corporate Entities are subject to Dutch taxes in connection with the acquisition, holding, settlement, redemption, and transfer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Dutch Gift Tax or Inheritance Tax </w:t>
      </w:r>
    </w:p>
    <w:p>
      <w:pPr>
        <w:pStyle w:val="TextBody"/>
        <w:bidi w:val="0"/>
        <w:spacing w:before="120" w:after="0"/>
        <w:jc w:val="left"/>
        <w:rPr>
          <w:rFonts w:ascii="Times New Roman" w:hAnsi="Times New Roman"/>
          <w:sz w:val="20"/>
        </w:rPr>
      </w:pPr>
      <w:r>
        <w:rPr>
          <w:rFonts w:ascii="Times New Roman" w:hAnsi="Times New Roman"/>
          <w:sz w:val="20"/>
        </w:rPr>
        <w:t xml:space="preserve">No Dutch gift tax or inheritance tax is due in respect of any gift of the Notes by, or inheritance of the Notes on the death of, a Noteholder,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Noteholder is resident, or is deemed to be resident, in the Netherlands at the time of the gift or death of the Noteholder;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Noteholder dies within 180 days after the date of the gift of the Notes and was, or was deemed to be, resident in the Netherlands at the time of the Noteholders death but not at the time of the gift;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gift of the Notes is made under a condition precedent and the Noteholder is resident, or is deemed to be resident, in the Netherlands at the time the condition is fulfilled.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Dutch gift tax or inheritance tax, an individual who is of Dutch nationality will be deemed to be resident in the Netherlands if this individual has been resident in the Netherlands at any time during the ten years preceding the date of the gift or the Noteholders death. For purposes of Dutch gift tax, any individual, irrespective of nationality, will be deemed to be resident in the Netherlands if this individual has been resident in the Netherlands at any time during the 12 months preceding the date of the gift.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Taxes and Duties </w:t>
      </w:r>
    </w:p>
    <w:p>
      <w:pPr>
        <w:pStyle w:val="TextBody"/>
        <w:bidi w:val="0"/>
        <w:spacing w:before="120" w:after="0"/>
        <w:jc w:val="left"/>
        <w:rPr>
          <w:rFonts w:ascii="Times New Roman" w:hAnsi="Times New Roman"/>
          <w:sz w:val="20"/>
        </w:rPr>
      </w:pPr>
      <w:r>
        <w:rPr>
          <w:rFonts w:ascii="Times New Roman" w:hAnsi="Times New Roman"/>
          <w:sz w:val="20"/>
        </w:rPr>
        <w:t xml:space="preserve">No other Dutch taxes, including turnover or value added taxes and taxes of a documentary nature, such as capital tax, stamp or registration tax or duty, are payable by the Company or by, or on behalf of, the Noteholder by reason only of the issue, acquisition or transfer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Residency </w:t>
      </w:r>
    </w:p>
    <w:p>
      <w:pPr>
        <w:pStyle w:val="TextBody"/>
        <w:bidi w:val="0"/>
        <w:spacing w:before="120" w:after="0"/>
        <w:jc w:val="left"/>
        <w:rPr>
          <w:rFonts w:ascii="Times New Roman" w:hAnsi="Times New Roman"/>
          <w:sz w:val="20"/>
        </w:rPr>
      </w:pPr>
      <w:r>
        <w:rPr>
          <w:rFonts w:ascii="Times New Roman" w:hAnsi="Times New Roman"/>
          <w:sz w:val="20"/>
        </w:rPr>
        <w:t xml:space="preserve">A Noteholder will not become a resident or deemed resident of the Netherlands solely as a result of holding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United States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The following is a summary of U.S. federal income tax considerations as of the date hereof generally applicable to the ownership and disposition of the Notes. Except as specifically described below, this summary applies only to U.S. Holders (as defined below) that purchase the Notes for cash in the initial offering at their issue price (</w:t>
      </w:r>
      <w:r>
        <w:rPr>
          <w:rFonts w:ascii="Times New Roman" w:hAnsi="Times New Roman"/>
          <w:i/>
          <w:sz w:val="20"/>
        </w:rPr>
        <w:t>i.e.</w:t>
      </w:r>
      <w:r>
        <w:rPr>
          <w:rFonts w:ascii="Times New Roman" w:hAnsi="Times New Roman"/>
          <w:sz w:val="20"/>
        </w:rPr>
        <w:t xml:space="preserve">, the first price at which a substantial amount of the Notes of the relevant series is sold other than to bond houses, brokers or similar persons or organizations acting in the capacity of underwriters, placement agents or wholesalers) and hold the Notes as capital assets for U.S. federal income tax purposes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not a comprehensive summary of all of the tax considerations that may be relevant to any particular investor in light of their particular circumstances, including investors that hold 5.350% 2026 Notes or 3.875% 2026 Notes. In particular, the discussion does not address all of the tax considerations that may be applicable to investors that are subject to special rules, such as banks, financial institutions, insurance companies, controlled foreign corporations, persons owning (directly or indirectly) 10% or more of common shares of Parent, broker dealers, persons that mark their securities to market, tax-exempt entities, persons liable for the alternative minimum tax, regulated investment companies, real estate investment trusts, certain expatriates or former long-term residents of the United States, governments or agencies or instrumentalities thereof, persons holding the Notes as part of a straddle, hedging, conversion or integrated transaction, persons whose functional currency is not the U.S. dollar and persons required to accelerate the recognition of any item of gross income with respect to the Notes as a result of such income being recognized on an applicable financial statement. Moreover, this discussion does not address any non-U.S., state or local tax considerations, any aspect of the Medicare tax on net investment income or any aspect of U.S. federal non-income tax laws, such as gift or estate tax laws. </w:t>
      </w:r>
    </w:p>
    <w:p>
      <w:pPr>
        <w:pStyle w:val="TextBody"/>
        <w:bidi w:val="0"/>
        <w:spacing w:before="240" w:after="0"/>
        <w:jc w:val="left"/>
        <w:rPr>
          <w:rFonts w:ascii="Times New Roman" w:hAnsi="Times New Roman"/>
          <w:sz w:val="20"/>
        </w:rPr>
      </w:pPr>
      <w:r>
        <w:rPr>
          <w:rFonts w:ascii="Times New Roman" w:hAnsi="Times New Roman"/>
          <w:sz w:val="20"/>
        </w:rPr>
        <w:t>The discussion below regarding U.S. federal income tax considerations is based upon the Code, U.S. Treasury regulations promulgated thereunder as well as administrative rulings or pronouncements or judicial decisions of the Internal Revenue Service (</w:t>
      </w:r>
      <w:r>
        <w:rPr>
          <w:rFonts w:ascii="Times New Roman" w:hAnsi="Times New Roman"/>
          <w:i/>
          <w:sz w:val="20"/>
        </w:rPr>
        <w:t>IRS</w:t>
      </w:r>
      <w:r>
        <w:rPr>
          <w:rFonts w:ascii="Times New Roman" w:hAnsi="Times New Roman"/>
          <w:sz w:val="20"/>
        </w:rPr>
        <w:t xml:space="preserve">), all as of the date hereof. All of the foregoing authorities are subject to change, which change could apply retroactively and could affect the tax considerations described below. There can be no assurance that the IRS will not take a contrary position regarding the tax considerations discussed below, or that any such contrary position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For purposes of this discussion, </w:t>
      </w:r>
      <w:r>
        <w:rPr>
          <w:rFonts w:ascii="Times New Roman" w:hAnsi="Times New Roman"/>
          <w:i/>
          <w:sz w:val="20"/>
        </w:rPr>
        <w:t>U.S. Holder</w:t>
      </w:r>
      <w:r>
        <w:rPr>
          <w:rFonts w:ascii="Times New Roman" w:hAnsi="Times New Roman"/>
          <w:sz w:val="20"/>
        </w:rPr>
        <w:t xml:space="preserve"> means a beneficial owner of the Notes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subject to tax as a corporation for U.S. federal income tax purposes) that is created or organized in or under the laws of the United States, any state or political subdivision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supervision of a court within the United States and the control of one or more United States persons or (ii) has a valid election in effect under applicable U.S.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partnership for U.S. federal income tax purposes holds the Notes, the U.S. federal income tax treatment of a partner in the partnership will generally depend upon the status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 and the activities of the partnership. Partners and partnerships should consult their tax advisors as to the particular U.S. federal income tax considerations of the ownership and disposition of the Notes applicable to them.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the Notes for United States federal income tax purposes is unclear in certain respects due to the absence of authorities that directly address the treatment of debt obligations that have both U.S. and non-U.S. co-obligors/co-issuers. </w:t>
      </w:r>
    </w:p>
    <w:p>
      <w:pPr>
        <w:pStyle w:val="TextBody"/>
        <w:bidi w:val="0"/>
        <w:spacing w:before="240" w:after="0"/>
        <w:jc w:val="left"/>
        <w:rPr>
          <w:rFonts w:ascii="Times New Roman" w:hAnsi="Times New Roman"/>
          <w:sz w:val="20"/>
        </w:rPr>
      </w:pPr>
      <w:r>
        <w:rPr>
          <w:rFonts w:ascii="Times New Roman" w:hAnsi="Times New Roman"/>
          <w:sz w:val="20"/>
        </w:rPr>
        <w:t xml:space="preserve">The Issuers, as between themselves, intend to treat NXP B.V. as primarily liable for the obligation to make principal and interest payments on the Notes because NXP B.V. will receive 100% of the proceeds in respect of the Notes, and NXP B.V. intends to make all interest and principal payments. As such, for United States federal income tax purposes, the Issuers intend to treat 100% of each dollar of the principal amount of the Notes as debt of NXP B.V. The remainder of this discussion assumes that the treatment of the Notes described above will be respected. If the IRS were to challenge this treatment successfully, the tax consequences of holders would be different from those described below. Holders should consult their tax advisors regarding the treatment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concerning the application of the U.S. federal income tax laws in light of their particular circumstances as well as any state, local or non-U.S. tax consequences to them of the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It is anticipated, and this discussion assumes, that the Notes will be issued with less than a de minimis amount of original issue discount.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Payments of stated interest on the Notes, without reduction for any foreign tax withheld from such payments and including any Additional Amounts paid with respect thereto, will be includible in a U.S. Holders gross income as ordinary interest income at the time such amounts are received or accrued (in accordance with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generally constitute foreign-source income for U.S. federal income tax purposes. For U.S. foreign tax credit limitation purposes, interest on the Notes will generally constitute passive income. A U.S. Holder may be entitled to deduct or credit foreign taxes withheld from interest payments in determining their U.S. federal income tax liability, subject to certain limitations (including that the election to deduct or credit foreign taxes applies to all foreign taxes for a particular tax year and certain holding period requirements). The rules governing the availability, calculation and timing of the U.S. foreign tax credits and the deduction of foreign taxes are complex and depend upon a U.S. Holders particular circumstances. Prospective investors should consult their tax advisor regarding the application of these rules in light of their particular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and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redemption or other taxable disposition of a Note, a U.S. Holder will generally recognize taxable gain or loss equal to the difference, if any, between the amount realized on the sale, exchange, redemption or other taxable disposition (other than amounts attributable to accrued but unpaid interest, which will be treated as ordinary interest income if not already included in such U.S. Holders income for U.S. federal income tax purposes) and such U.S. Holders adjusted tax basis in such Note. A U.S. Holders adjusted tax basis in a Note will generally equal the purchase price of such Note, decreased by any payments received on such Note other than payments of stated interest. Any such gain or loss on a sale, exchange, redemption or other taxable disposition of the Notes will generally be long-term capital gain or loss if, at the time of sale, exchange, redemption or other disposition, the U.S. Holder held the Notes for more than one year. Long-term capital gains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individuals and certain other non-corporate U.S. Holders are generally eligible for preferential U.S. federal income tax rates. The deductibility of capital losses is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Any gain or loss recognized by a U.S. Holder on the sale, exchange, redemption or other taxable disposition of the Notes will generally be treated as U.S.-source capital gain or loss for U.S. foreign tax credit purposes. Consequently, a U.S. Holder may not be able to claim a credit for any non-U.S. tax imposed upon a disposition of a Note unless such credit can be applied (subject to applicable limitations) against tax due on other income treated as derived from foreign sources. The rules governing the availability, calculation and timing of U.S. foreign tax credits and the deduction of foreign taxes are complex and depend upon a U.S. Holders particular circumstances. Prospective investors should consult their tax advisor regarding the application of these rules in light of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For purposes of this discussion, a beneficial owner of a Note that is not a U.S. Holder or a partnership or other pass-through entity for U.S. federal income tax purposes is referred to as a </w:t>
      </w:r>
      <w:r>
        <w:rPr>
          <w:rFonts w:ascii="Times New Roman" w:hAnsi="Times New Roman"/>
          <w:i/>
          <w:sz w:val="20"/>
        </w:rPr>
        <w:t>Non-U.S. 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described above, the Issuers intend to treat 100% of each dollar of the principal amount of the Notes as debt of NXP B.V. Because NXP USA is a co-issuer, however, it is possible that a financial intermediary through which the Non-U.S. Holder holds the Notes may ask such Non-U.S. Holder to provide an applicable IRS Form W-8 to establish their non-U.S. status and thus their exemption from U.S. withholding taxes, U.S. backup withholding and withholding under sections 1471 through 1474 of the Code (such provisions commonly known as </w:t>
      </w:r>
      <w:r>
        <w:rPr>
          <w:rFonts w:ascii="Times New Roman" w:hAnsi="Times New Roman"/>
          <w:i/>
          <w:sz w:val="20"/>
        </w:rPr>
        <w:t>FATCA</w:t>
      </w:r>
      <w:r>
        <w:rPr>
          <w:rFonts w:ascii="Times New Roman" w:hAnsi="Times New Roman"/>
          <w:sz w:val="20"/>
        </w:rPr>
        <w:t xml:space="preserve">). In addition, if (contrary to our expectation) NXP USA were to make interest payments on the Notes, such interest could be treated as U.S.-source income and be subject to U.S. federal income tax or withholding taxes. In that case, a Non-U.S. Holder who is eligible for an exemption for the U.S. withholding taxes described above would likely need to provide an applicable IRS Form W-8 to the financial intermediary through which the Non-U.S. Holder holds the Notes to establish such exemption. A Non-U.S. Holder will be eligible for such exemption from U.S. withholding taxes unless the interest is effectively connected with such holders conduct of a trade or business in the United States (or, if required by an applicable income tax treaty, attributable to a U.S. permanent establishment or fixed base). Non-U.S. Holders should consult their tax advisors concerning the potential imposition of United States federal income or withholding taxes in these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SHOULD CONSULT ITS TAX ADVISORS AS TO THE U.S. FEDERAL, STATE, LOCAL, FOREIGN, AND ANY OTHER TAX CONSIDERATIONS TO IT RELATED TO AN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94185_9"/>
      <w:bookmarkEnd w:id="11"/>
      <w:r>
        <w:rPr>
          <w:rFonts w:ascii="Times New Roman" w:hAnsi="Times New Roman"/>
          <w:b/>
          <w:sz w:val="20"/>
        </w:rPr>
        <w:t xml:space="preserve">LIMITATIONS ON VALIDITY AND ENFORCEABILITY OF NOTE GUARANTEE </w:t>
      </w:r>
    </w:p>
    <w:p>
      <w:pPr>
        <w:pStyle w:val="TextBody"/>
        <w:bidi w:val="0"/>
        <w:spacing w:before="240" w:after="0"/>
        <w:jc w:val="left"/>
        <w:rPr>
          <w:rFonts w:ascii="Times New Roman" w:hAnsi="Times New Roman"/>
          <w:i/>
          <w:sz w:val="20"/>
        </w:rPr>
      </w:pPr>
      <w:r>
        <w:rPr>
          <w:rFonts w:ascii="Times New Roman" w:hAnsi="Times New Roman"/>
          <w:i/>
          <w:sz w:val="20"/>
        </w:rPr>
        <w:t xml:space="preserve">Set out below is a summary of certain limitations on the enforceability of the Note Guarantee in the Netherlands. It is a summary only. Bankruptcy or insolvency proceedings or a similar event could be initiated in the Netherlands and/or in the jurisdiction of organization of a future Guarantor of the Notes. The application of these various laws in multiple jurisdictions could trigger disputes over which jurisdictions law should apply and could adversely affect your ability to enforce your rights and to collect payment in full under the Notes and the Note Guarantee. </w:t>
      </w:r>
    </w:p>
    <w:p>
      <w:pPr>
        <w:pStyle w:val="TextBody"/>
        <w:bidi w:val="0"/>
        <w:spacing w:before="360" w:after="0"/>
        <w:jc w:val="left"/>
        <w:rPr>
          <w:rFonts w:ascii="Times New Roman" w:hAnsi="Times New Roman"/>
          <w:b/>
          <w:sz w:val="20"/>
        </w:rPr>
      </w:pPr>
      <w:r>
        <w:rPr>
          <w:rFonts w:ascii="Times New Roman" w:hAnsi="Times New Roman"/>
          <w:b/>
          <w:sz w:val="20"/>
        </w:rPr>
        <w:t xml:space="preserve">The Netherlands </w:t>
      </w:r>
    </w:p>
    <w:p>
      <w:pPr>
        <w:pStyle w:val="TextBody"/>
        <w:bidi w:val="0"/>
        <w:spacing w:before="120" w:after="0"/>
        <w:jc w:val="left"/>
        <w:rPr>
          <w:rFonts w:ascii="Times New Roman" w:hAnsi="Times New Roman"/>
          <w:b/>
          <w:i/>
          <w:sz w:val="20"/>
        </w:rPr>
      </w:pPr>
      <w:r>
        <w:rPr>
          <w:rFonts w:ascii="Times New Roman" w:hAnsi="Times New Roman"/>
          <w:b/>
          <w:i/>
          <w:sz w:val="20"/>
        </w:rPr>
        <w:t xml:space="preserve">Dutch Insolvency Law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Parent are incorporated under the laws of the Netherlands and have their registered seat in the Netherlands. As the Company and the Parent have their centre of main interests or an establishment in the Netherlands, it may become subject to Dutch insolvency proceedings. If a company has its corporate seat in the Netherlands, it is presumed to have its centre of main interests in the Netherlands (save for evidence of the contrary). Under certain circumstances, bankruptcy proceedings may also be opened in the Netherlands in accordance with Dutch law over the assets of companies that are not established under Dutch law. </w:t>
      </w:r>
    </w:p>
    <w:p>
      <w:pPr>
        <w:pStyle w:val="TextBody"/>
        <w:bidi w:val="0"/>
        <w:spacing w:before="240" w:after="0"/>
        <w:jc w:val="left"/>
        <w:rPr>
          <w:rFonts w:ascii="Times New Roman" w:hAnsi="Times New Roman"/>
          <w:sz w:val="20"/>
        </w:rPr>
      </w:pPr>
      <w:r>
        <w:rPr>
          <w:rFonts w:ascii="Times New Roman" w:hAnsi="Times New Roman"/>
          <w:sz w:val="20"/>
        </w:rPr>
        <w:t xml:space="preserve">The insolvency laws of the Netherlands may not be as favorable to your interests as creditors as the laws of the U.S. or other jurisdictions with which you may be familiar, including in the areas of rights if creditors, priority or governmental and other creditors, the ability to obtain post-commencement interest and duration of proceedings. </w:t>
      </w:r>
    </w:p>
    <w:p>
      <w:pPr>
        <w:pStyle w:val="TextBody"/>
        <w:bidi w:val="0"/>
        <w:spacing w:before="240" w:after="0"/>
        <w:jc w:val="left"/>
        <w:rPr>
          <w:rFonts w:ascii="Times New Roman" w:hAnsi="Times New Roman"/>
          <w:sz w:val="20"/>
        </w:rPr>
      </w:pPr>
      <w:r>
        <w:rPr>
          <w:rFonts w:ascii="Times New Roman" w:hAnsi="Times New Roman"/>
          <w:sz w:val="20"/>
        </w:rPr>
        <w:t>There are three primary insolvency regimes under Dutch law applicable to legal entities: suspension of payments (</w:t>
      </w:r>
      <w:r>
        <w:rPr>
          <w:rFonts w:ascii="Times New Roman" w:hAnsi="Times New Roman"/>
          <w:i/>
          <w:sz w:val="20"/>
        </w:rPr>
        <w:t>surseance van betaling</w:t>
      </w:r>
      <w:r>
        <w:rPr>
          <w:rFonts w:ascii="Times New Roman" w:hAnsi="Times New Roman"/>
          <w:sz w:val="20"/>
        </w:rPr>
        <w:t>), the WHOA (</w:t>
      </w:r>
      <w:r>
        <w:rPr>
          <w:rFonts w:ascii="Times New Roman" w:hAnsi="Times New Roman"/>
          <w:i/>
          <w:sz w:val="20"/>
        </w:rPr>
        <w:t>onderhands akkoord</w:t>
      </w:r>
      <w:r>
        <w:rPr>
          <w:rFonts w:ascii="Times New Roman" w:hAnsi="Times New Roman"/>
          <w:sz w:val="20"/>
        </w:rPr>
        <w:t>) procedure, and bankruptcy (</w:t>
      </w:r>
      <w:r>
        <w:rPr>
          <w:rFonts w:ascii="Times New Roman" w:hAnsi="Times New Roman"/>
          <w:i/>
          <w:sz w:val="20"/>
        </w:rPr>
        <w:t>faillissement</w:t>
      </w:r>
      <w:r>
        <w:rPr>
          <w:rFonts w:ascii="Times New Roman" w:hAnsi="Times New Roman"/>
          <w:sz w:val="20"/>
        </w:rPr>
        <w:t>). These insolvency regimes are set forth in the Dutch Bankruptcy Act (</w:t>
      </w:r>
      <w:r>
        <w:rPr>
          <w:rFonts w:ascii="Times New Roman" w:hAnsi="Times New Roman"/>
          <w:i/>
          <w:sz w:val="20"/>
        </w:rPr>
        <w:t>F</w:t>
      </w:r>
      <w:r>
        <w:rPr>
          <w:rFonts w:ascii="Times New Roman" w:hAnsi="Times New Roman"/>
          <w:sz w:val="20"/>
        </w:rPr>
        <w:t>a</w:t>
      </w:r>
      <w:r>
        <w:rPr>
          <w:rFonts w:ascii="Times New Roman" w:hAnsi="Times New Roman"/>
          <w:i/>
          <w:sz w:val="20"/>
        </w:rPr>
        <w:t>illissementswet</w:t>
      </w:r>
      <w:r>
        <w:rPr>
          <w:rFonts w:ascii="Times New Roman" w:hAnsi="Times New Roman"/>
          <w:sz w:val="20"/>
        </w:rPr>
        <w:t xml:space="preserve">). In practice, a suspension of payments often is converted into bankruptcy. If the Company or the Parent becomes subject to any of these regimes, this may affect the Note Guarantee provided in relation thereto. A general description of the principles of all three insolvency regimes is set out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Suspension of payments </w:t>
      </w:r>
    </w:p>
    <w:p>
      <w:pPr>
        <w:pStyle w:val="TextBody"/>
        <w:bidi w:val="0"/>
        <w:spacing w:before="120" w:after="0"/>
        <w:jc w:val="left"/>
        <w:rPr>
          <w:rFonts w:ascii="Times New Roman" w:hAnsi="Times New Roman"/>
          <w:sz w:val="20"/>
        </w:rPr>
      </w:pPr>
      <w:r>
        <w:rPr>
          <w:rFonts w:ascii="Times New Roman" w:hAnsi="Times New Roman"/>
          <w:sz w:val="20"/>
        </w:rPr>
        <w:t>First, an application for a suspension of payments can be made by a debtor if it foresees that it will be unable to continue to pay its due and payable debts. Once a request for a suspension of payments is filed, the Dutch court will immediately grant a provisional suspension of payments (</w:t>
      </w:r>
      <w:r>
        <w:rPr>
          <w:rFonts w:ascii="Times New Roman" w:hAnsi="Times New Roman"/>
          <w:i/>
          <w:sz w:val="20"/>
        </w:rPr>
        <w:t>voorlopige surseance van betaling</w:t>
      </w:r>
      <w:r>
        <w:rPr>
          <w:rFonts w:ascii="Times New Roman" w:hAnsi="Times New Roman"/>
          <w:sz w:val="20"/>
        </w:rPr>
        <w:t>) and appoint an administrator (</w:t>
      </w:r>
      <w:r>
        <w:rPr>
          <w:rFonts w:ascii="Times New Roman" w:hAnsi="Times New Roman"/>
          <w:i/>
          <w:sz w:val="20"/>
        </w:rPr>
        <w:t>bewindvoerder</w:t>
      </w:r>
      <w:r>
        <w:rPr>
          <w:rFonts w:ascii="Times New Roman" w:hAnsi="Times New Roman"/>
          <w:sz w:val="20"/>
        </w:rPr>
        <w:t>) and a supervisory judge (</w:t>
      </w:r>
      <w:r>
        <w:rPr>
          <w:rFonts w:ascii="Times New Roman" w:hAnsi="Times New Roman"/>
          <w:i/>
          <w:sz w:val="20"/>
        </w:rPr>
        <w:t>rechter-commissaris</w:t>
      </w:r>
      <w:r>
        <w:rPr>
          <w:rFonts w:ascii="Times New Roman" w:hAnsi="Times New Roman"/>
          <w:sz w:val="20"/>
        </w:rPr>
        <w:t>). The debtor and the administrator are jointly authorized to administer and dispose of the debtors assets. The suspension of payments takes effect retroactively from 0.00 hours on the day the court granted the provisional suspension of payments. A suspension of payments only affects unsecured, non-preferential claims. However, at the request of an interested party or of its own motion, the court can order a stay (</w:t>
      </w:r>
      <w:r>
        <w:rPr>
          <w:rFonts w:ascii="Times New Roman" w:hAnsi="Times New Roman"/>
          <w:i/>
          <w:sz w:val="20"/>
        </w:rPr>
        <w:t>afkoelingsperiode</w:t>
      </w:r>
      <w:r>
        <w:rPr>
          <w:rFonts w:ascii="Times New Roman" w:hAnsi="Times New Roman"/>
          <w:sz w:val="20"/>
        </w:rPr>
        <w:t xml:space="preserve">) for a maximum period of two months (which can be extended by the court once for another two months) during which enforcement actions are barred. Moreover, upon awarding a provisional suspension of payments, all litigation against the debtor is stayed and all attachments lapse.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grant of the provisional suspension of payments, a creditors meeting is scheduled for the creditors to be heard on the request for suspension of payments. Afterwards, the court will either grant a definitive suspension of payments or declare the debtor bankrupt. A definitive suspension of payments will generally be granted unless a qualified majority (more than one quarter of the amount of claims held by creditors represented at the creditors meeting or more than one-third of the number of creditors represented at this meeting) of the unsecured creditors withholds its consent. The granting of a definitive suspension of payments can also be refused by the court if the court is concerned the debtor may prejudice its creditors during the suspension of payments or if there is no prospect that the debtor will be able to satisfy its creditors again in the (near)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a draft composition plan (</w:t>
      </w:r>
      <w:r>
        <w:rPr>
          <w:rFonts w:ascii="Times New Roman" w:hAnsi="Times New Roman"/>
          <w:i/>
          <w:sz w:val="20"/>
        </w:rPr>
        <w:t>ontwerpakkoord</w:t>
      </w:r>
      <w:r>
        <w:rPr>
          <w:rFonts w:ascii="Times New Roman" w:hAnsi="Times New Roman"/>
          <w:sz w:val="20"/>
        </w:rPr>
        <w:t>) is filed along with the request for a suspension of payments, the court can determine that this draft will be dealt with before it decides on a definitive suspension of payments. A composition plan may also be offered in a definitive suspension of payments. A composition plan will be binding on all affected creditors, irrespective of whether they voted in favor or against it or whether they were represented at the creditors meeting called for the purpose of voting, if (i) the composition plan is approved by a simple majority of the number of creditors represented at the creditors meeting that represent at least 50% in amount of the claims admitted to the suspension of payments, and (ii) the composition plan is subsequently confirmed (</w:t>
      </w:r>
      <w:r>
        <w:rPr>
          <w:rFonts w:ascii="Times New Roman" w:hAnsi="Times New Roman"/>
          <w:i/>
          <w:sz w:val="20"/>
        </w:rPr>
        <w:t>gehomologeerd</w:t>
      </w:r>
      <w:r>
        <w:rPr>
          <w:rFonts w:ascii="Times New Roman" w:hAnsi="Times New Roman"/>
          <w:sz w:val="20"/>
        </w:rPr>
        <w:t xml:space="preserve">) by the court.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composition </w:t>
      </w:r>
    </w:p>
    <w:p>
      <w:pPr>
        <w:pStyle w:val="TextBody"/>
        <w:bidi w:val="0"/>
        <w:spacing w:before="120" w:after="0"/>
        <w:jc w:val="left"/>
        <w:rPr>
          <w:rFonts w:ascii="Times New Roman" w:hAnsi="Times New Roman"/>
          <w:sz w:val="20"/>
        </w:rPr>
      </w:pPr>
      <w:r>
        <w:rPr>
          <w:rFonts w:ascii="Times New Roman" w:hAnsi="Times New Roman"/>
          <w:sz w:val="20"/>
        </w:rPr>
        <w:t xml:space="preserve">Second, if it is reasonably foreseeable that a Dutch company cannot continue to pay its debts, it is eligible for a WHOA procedure. This is a debtor-in-possession procedure that allows for a restructuring of a debtors financial liabilities outside of formal insolvency proceedings. A WHOA procedure may be initiated by a debtor itself or by, amongst others, a creditor or shareholder. Under the WHOA, a restructuring plan is designed and presented to all creditors and shareholders whose rights are affected by the plan. Creditors and shareholders are placed in classes for the purpose of voting on the plan. A plan is approved by a class if two-third of the value of the claims or shares held by the creditors or shareholders casting a vote in such class votes in favor. If at least one class that would receive any distribution in case of the debtors bankruptcy, or the class in which the value breaks, has approved the plan, a court may confirm such plan (save for some grounds for refusal, all in line with global market practice). If a plan is confirmed by the court, it becomes binding on all creditors and shareholders that were eligible to vote, regardless of their actual vote. </w:t>
      </w:r>
    </w:p>
    <w:p>
      <w:pPr>
        <w:pStyle w:val="TextBody"/>
        <w:bidi w:val="0"/>
        <w:spacing w:before="240" w:after="0"/>
        <w:jc w:val="left"/>
        <w:rPr>
          <w:rFonts w:ascii="Times New Roman" w:hAnsi="Times New Roman"/>
          <w:sz w:val="20"/>
        </w:rPr>
      </w:pPr>
      <w:r>
        <w:rPr>
          <w:rFonts w:ascii="Times New Roman" w:hAnsi="Times New Roman"/>
          <w:sz w:val="20"/>
        </w:rPr>
        <w:t xml:space="preserve">To support a restructuring under the WHOA, a court may grant a stay on enforcement of a maximum of four months (with a possible extension of four months). As the WHOA may affect all creditors, a security right granted by the debtor is unenforceable during a stay. Furthermore, prior to the voting process, a court can be asked to hear issues that may prevent court-confirmation.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Bankruptcy </w:t>
      </w:r>
    </w:p>
    <w:p>
      <w:pPr>
        <w:pStyle w:val="TextBody"/>
        <w:bidi w:val="0"/>
        <w:spacing w:before="120" w:after="0"/>
        <w:jc w:val="left"/>
        <w:rPr>
          <w:rFonts w:ascii="Times New Roman" w:hAnsi="Times New Roman"/>
          <w:sz w:val="20"/>
        </w:rPr>
      </w:pPr>
      <w:r>
        <w:rPr>
          <w:rFonts w:ascii="Times New Roman" w:hAnsi="Times New Roman"/>
          <w:sz w:val="20"/>
        </w:rPr>
        <w:t>Third, under Dutch law, a debtor can be declared bankrupt when it has ceased to pay its debts. A bankruptcy request may be filed by the debtor or by any of its creditors. Bankruptcy can be considered a court-ordered general attachment of the assets of a debtor for the benefit of its joint creditors. The purpose of bankruptcy is to provide for a liquidation of the debtors assets and distribution of the proceeds among its creditors in accordance with their respective rank and the priority of their claims. If the court allows a bankruptcy request, a bankruptcy trustee (</w:t>
      </w:r>
      <w:r>
        <w:rPr>
          <w:rFonts w:ascii="Times New Roman" w:hAnsi="Times New Roman"/>
          <w:i/>
          <w:sz w:val="20"/>
        </w:rPr>
        <w:t>curator</w:t>
      </w:r>
      <w:r>
        <w:rPr>
          <w:rFonts w:ascii="Times New Roman" w:hAnsi="Times New Roman"/>
          <w:sz w:val="20"/>
        </w:rPr>
        <w:t>) and supervisory judge (</w:t>
      </w:r>
      <w:r>
        <w:rPr>
          <w:rFonts w:ascii="Times New Roman" w:hAnsi="Times New Roman"/>
          <w:i/>
          <w:sz w:val="20"/>
        </w:rPr>
        <w:t>rechter-commissaris</w:t>
      </w:r>
      <w:r>
        <w:rPr>
          <w:rFonts w:ascii="Times New Roman" w:hAnsi="Times New Roman"/>
          <w:sz w:val="20"/>
        </w:rPr>
        <w:t xml:space="preserve">) are appointed. The debtor is no longer authorized to administer and dispose of its assets. As with a suspension of payments, a bankruptcy order takes effect retroactively from 0.00 hours on the day the request is allowed. </w:t>
      </w:r>
    </w:p>
    <w:p>
      <w:pPr>
        <w:pStyle w:val="TextBody"/>
        <w:bidi w:val="0"/>
        <w:spacing w:before="240" w:after="0"/>
        <w:jc w:val="left"/>
        <w:rPr>
          <w:rFonts w:ascii="Times New Roman" w:hAnsi="Times New Roman"/>
          <w:sz w:val="20"/>
        </w:rPr>
      </w:pPr>
      <w:r>
        <w:rPr>
          <w:rFonts w:ascii="Times New Roman" w:hAnsi="Times New Roman"/>
          <w:sz w:val="20"/>
        </w:rPr>
        <w:t>All unsecured claims are affected by a bankruptcy and can only be enforced by filing them with the bankruptcy trustee. The validity, value and ranking of claims submitted in the bankruptcy is initially determined by the bankruptcy trustee. If the bankruptcy estate allows for a distribution to creditors, a creditors meeting (</w:t>
      </w:r>
      <w:r>
        <w:rPr>
          <w:rFonts w:ascii="Times New Roman" w:hAnsi="Times New Roman"/>
          <w:i/>
          <w:sz w:val="20"/>
        </w:rPr>
        <w:t>verificatievergadering</w:t>
      </w:r>
      <w:r>
        <w:rPr>
          <w:rFonts w:ascii="Times New Roman" w:hAnsi="Times New Roman"/>
          <w:sz w:val="20"/>
        </w:rPr>
        <w:t>) is scheduled by the court. During this meeting, the debtor and all creditors whose claim has been allowed by the bankruptcy trustee may challenge (</w:t>
      </w:r>
      <w:r>
        <w:rPr>
          <w:rFonts w:ascii="Times New Roman" w:hAnsi="Times New Roman"/>
          <w:i/>
          <w:sz w:val="20"/>
        </w:rPr>
        <w:t>betwisten</w:t>
      </w:r>
      <w:r>
        <w:rPr>
          <w:rFonts w:ascii="Times New Roman" w:hAnsi="Times New Roman"/>
          <w:sz w:val="20"/>
        </w:rPr>
        <w:t>) any claim filed. If no consensus is reached, claim validation proceedings (</w:t>
      </w:r>
      <w:r>
        <w:rPr>
          <w:rFonts w:ascii="Times New Roman" w:hAnsi="Times New Roman"/>
          <w:i/>
          <w:sz w:val="20"/>
        </w:rPr>
        <w:t>renvooiprocedure</w:t>
      </w:r>
      <w:r>
        <w:rPr>
          <w:rFonts w:ascii="Times New Roman" w:hAnsi="Times New Roman"/>
          <w:sz w:val="20"/>
        </w:rPr>
        <w:t xml:space="preserve">) ensue. Similar to a suspension of payments, as soon as a debtor is declared bankrupt, all pending enforcement actions and litigation relating to unsecured claims is stayed and attachments lapse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Finally, a composition plan may be offered. Such plan is binding on creditors if it is (i) approved by a simple majority in number of the creditors represented at the creditors meeting, representing at least 50% in amount of the claims allowed by the bankruptcy trustee, and (ii) subsequently confirmed by the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Enforcement of the Note Guarantee </w:t>
      </w:r>
    </w:p>
    <w:p>
      <w:pPr>
        <w:pStyle w:val="TextBody"/>
        <w:bidi w:val="0"/>
        <w:spacing w:before="120" w:after="0"/>
        <w:jc w:val="left"/>
        <w:rPr>
          <w:rFonts w:ascii="Times New Roman" w:hAnsi="Times New Roman"/>
          <w:sz w:val="20"/>
        </w:rPr>
      </w:pPr>
      <w:r>
        <w:rPr>
          <w:rFonts w:ascii="Times New Roman" w:hAnsi="Times New Roman"/>
          <w:sz w:val="20"/>
        </w:rPr>
        <w:t xml:space="preserve">Dutch law contains provisions dealing with fraudulent conveyance both in and outside of bankruptcy, so-called </w:t>
      </w:r>
      <w:r>
        <w:rPr>
          <w:rFonts w:ascii="Times New Roman" w:hAnsi="Times New Roman"/>
          <w:i/>
          <w:sz w:val="20"/>
        </w:rPr>
        <w:t>actio pauliana</w:t>
      </w:r>
      <w:r>
        <w:rPr>
          <w:rFonts w:ascii="Times New Roman" w:hAnsi="Times New Roman"/>
          <w:sz w:val="20"/>
        </w:rPr>
        <w:t xml:space="preserve"> provisions. A successful action bases on </w:t>
      </w:r>
      <w:r>
        <w:rPr>
          <w:rFonts w:ascii="Times New Roman" w:hAnsi="Times New Roman"/>
          <w:i/>
          <w:sz w:val="20"/>
        </w:rPr>
        <w:t>actio pauliana</w:t>
      </w:r>
      <w:r>
        <w:rPr>
          <w:rFonts w:ascii="Times New Roman" w:hAnsi="Times New Roman"/>
          <w:sz w:val="20"/>
        </w:rPr>
        <w:t xml:space="preserve"> may impede enforcement of the Note Guarantee. To the extent that Dutch law applies, a legal act performed by a person (including (without limitation) an agreement pursuant to which it guarantees the performance of the obligations of a third party or agrees to provide or provides security for any of its or a third partys obligations, enters into additional agreements benefiting from existing security and any other legal act having a similar effect) can be challenged in an insolvency proceeding or otherwise and may be nullified by (i) any of its creditors, or (ii) its trustee in bankruptcy, if (a) it performed such acts without an obligation to do so (</w:t>
      </w:r>
      <w:r>
        <w:rPr>
          <w:rFonts w:ascii="Times New Roman" w:hAnsi="Times New Roman"/>
          <w:i/>
          <w:sz w:val="20"/>
        </w:rPr>
        <w:t>onverplicht</w:t>
      </w:r>
      <w:r>
        <w:rPr>
          <w:rFonts w:ascii="Times New Roman" w:hAnsi="Times New Roman"/>
          <w:sz w:val="20"/>
        </w:rPr>
        <w:t>), (b) generally the creditor concerned or, in the case of its bankruptcy, any creditor was prejudiced as a consequence of the act, and (c) at the time the act was performed both it and (unless the act was for no consideration (</w:t>
      </w:r>
      <w:r>
        <w:rPr>
          <w:rFonts w:ascii="Times New Roman" w:hAnsi="Times New Roman"/>
          <w:i/>
          <w:sz w:val="20"/>
        </w:rPr>
        <w:t>om niet</w:t>
      </w:r>
      <w:r>
        <w:rPr>
          <w:rFonts w:ascii="Times New Roman" w:hAnsi="Times New Roman"/>
          <w:sz w:val="20"/>
        </w:rPr>
        <w:t xml:space="preserve">)) the party with or towards which it acted, knew or should have known that one or more of its creditors (existing or future) would be prejudiced. In addition, in the case of a bankruptcy, the trustee in bankruptcy may nullify the bankrupts performance of any due and payable obligation (including (without limitation) an obligation to provide security for any of its or a third partys obligations) if (x) the recipient of the performance knew that a request for bankruptcy had been filed, or (y) the performance of the obligation was the result of consultation between it and the recipient with a view to give preference to the latter over the legal entitys creditors. </w:t>
      </w:r>
    </w:p>
    <w:p>
      <w:pPr>
        <w:pStyle w:val="TextBody"/>
        <w:bidi w:val="0"/>
        <w:spacing w:before="240" w:after="0"/>
        <w:jc w:val="left"/>
        <w:rPr>
          <w:rFonts w:ascii="Times New Roman" w:hAnsi="Times New Roman"/>
          <w:sz w:val="20"/>
        </w:rPr>
      </w:pPr>
      <w:r>
        <w:rPr>
          <w:rFonts w:ascii="Times New Roman" w:hAnsi="Times New Roman"/>
          <w:sz w:val="20"/>
        </w:rPr>
        <w:t>In addition, if a Dutch company grants a guarantee that does not serve its corporate interest (</w:t>
      </w:r>
      <w:r>
        <w:rPr>
          <w:rFonts w:ascii="Times New Roman" w:hAnsi="Times New Roman"/>
          <w:i/>
          <w:sz w:val="20"/>
        </w:rPr>
        <w:t>vennootschappelijk belang</w:t>
      </w:r>
      <w:r>
        <w:rPr>
          <w:rFonts w:ascii="Times New Roman" w:hAnsi="Times New Roman"/>
          <w:sz w:val="20"/>
        </w:rPr>
        <w:t>), the guarantee may be avoided by, amongst others, the company or by a bankruptcy trustee (</w:t>
      </w:r>
      <w:r>
        <w:rPr>
          <w:rFonts w:ascii="Times New Roman" w:hAnsi="Times New Roman"/>
          <w:i/>
          <w:sz w:val="20"/>
        </w:rPr>
        <w:t>curator</w:t>
      </w:r>
      <w:r>
        <w:rPr>
          <w:rFonts w:ascii="Times New Roman" w:hAnsi="Times New Roman"/>
          <w:sz w:val="20"/>
        </w:rPr>
        <w:t>) in case the company enters bankruptcy proceedings (</w:t>
      </w:r>
      <w:r>
        <w:rPr>
          <w:rFonts w:ascii="Times New Roman" w:hAnsi="Times New Roman"/>
          <w:i/>
          <w:sz w:val="20"/>
        </w:rPr>
        <w:t>faillissement</w:t>
      </w:r>
      <w:r>
        <w:rPr>
          <w:rFonts w:ascii="Times New Roman" w:hAnsi="Times New Roman"/>
          <w:sz w:val="20"/>
        </w:rPr>
        <w:t>). As a result, the guarantee may not be valid, binding and enforceable against the company. In determining whether the granting of a guarantee is in the interest of a Dutch company, Dutch courts will not only consider the text of the objects clause in the companys articles of association (</w:t>
      </w:r>
      <w:r>
        <w:rPr>
          <w:rFonts w:ascii="Times New Roman" w:hAnsi="Times New Roman"/>
          <w:i/>
          <w:sz w:val="20"/>
        </w:rPr>
        <w:t>statuten</w:t>
      </w:r>
      <w:r>
        <w:rPr>
          <w:rFonts w:ascii="Times New Roman" w:hAnsi="Times New Roman"/>
          <w:sz w:val="20"/>
        </w:rPr>
        <w:t xml:space="preserve">) but all relevant circumstances. This includes (i) whether the company (irrespective of the wording of the objects clause) derives a commercial benefit from the transaction in respect of which the guarantee is granted, and (ii) the balance between the risk that the company is assuming and the benefit it derives from the transaction. In regard to the first point, a benefit may be a direct benefit for the company or an indirect benefit derived by the company of its place within a group of companies, which group directly benefits from the relevant transaction. In regard to the second point, it is relevant whether the granting of the guarantee foreseeably endangers the continuity of the company. It is noted that, even in case of a direct or indirect benefit, the guarantee may be declared void by a Dutch court if it appears that the granting thereof does not serve the realisation of the relevant companys objects, or where it is determined that there is a material imbalance to the disadvantage of the company between the commercial benefit on the one hand and the risks on the other hand. </w:t>
      </w:r>
    </w:p>
    <w:p>
      <w:pPr>
        <w:pStyle w:val="TextBody"/>
        <w:bidi w:val="0"/>
        <w:spacing w:before="240" w:after="0"/>
        <w:jc w:val="left"/>
        <w:rPr>
          <w:rFonts w:ascii="Times New Roman" w:hAnsi="Times New Roman"/>
          <w:sz w:val="20"/>
        </w:rPr>
      </w:pPr>
      <w:r>
        <w:rPr>
          <w:rFonts w:ascii="Times New Roman" w:hAnsi="Times New Roman"/>
          <w:sz w:val="20"/>
        </w:rPr>
        <w:t>A guarantee governed by Dutch law may also be voided by a Dutch court if it was created through undue influence (</w:t>
      </w:r>
      <w:r>
        <w:rPr>
          <w:rFonts w:ascii="Times New Roman" w:hAnsi="Times New Roman"/>
          <w:i/>
          <w:sz w:val="20"/>
        </w:rPr>
        <w:t>misbruik van omstandigheden</w:t>
      </w:r>
      <w:r>
        <w:rPr>
          <w:rFonts w:ascii="Times New Roman" w:hAnsi="Times New Roman"/>
          <w:sz w:val="20"/>
        </w:rPr>
        <w:t>), fraud (</w:t>
      </w:r>
      <w:r>
        <w:rPr>
          <w:rFonts w:ascii="Times New Roman" w:hAnsi="Times New Roman"/>
          <w:i/>
          <w:sz w:val="20"/>
        </w:rPr>
        <w:t>bedrog</w:t>
      </w:r>
      <w:r>
        <w:rPr>
          <w:rFonts w:ascii="Times New Roman" w:hAnsi="Times New Roman"/>
          <w:sz w:val="20"/>
        </w:rPr>
        <w:t>), duress (</w:t>
      </w:r>
      <w:r>
        <w:rPr>
          <w:rFonts w:ascii="Times New Roman" w:hAnsi="Times New Roman"/>
          <w:i/>
          <w:sz w:val="20"/>
        </w:rPr>
        <w:t>bedreiging</w:t>
      </w:r>
      <w:r>
        <w:rPr>
          <w:rFonts w:ascii="Times New Roman" w:hAnsi="Times New Roman"/>
          <w:sz w:val="20"/>
        </w:rPr>
        <w:t>) or mistake (</w:t>
      </w:r>
      <w:r>
        <w:rPr>
          <w:rFonts w:ascii="Times New Roman" w:hAnsi="Times New Roman"/>
          <w:i/>
          <w:sz w:val="20"/>
        </w:rPr>
        <w:t>dwaling</w:t>
      </w:r>
      <w:r>
        <w:rPr>
          <w:rFonts w:ascii="Times New Roman" w:hAnsi="Times New Roman"/>
          <w:sz w:val="20"/>
        </w:rPr>
        <w:t>). Furthermore, payment pursuant to a guarantee may be withheld due to unforeseen circumstances (</w:t>
      </w:r>
      <w:r>
        <w:rPr>
          <w:rFonts w:ascii="Times New Roman" w:hAnsi="Times New Roman"/>
          <w:i/>
          <w:sz w:val="20"/>
        </w:rPr>
        <w:t>onvoorziene omstandigheden</w:t>
      </w:r>
      <w:r>
        <w:rPr>
          <w:rFonts w:ascii="Times New Roman" w:hAnsi="Times New Roman"/>
          <w:sz w:val="20"/>
        </w:rPr>
        <w:t>), force majeure (</w:t>
      </w:r>
      <w:r>
        <w:rPr>
          <w:rFonts w:ascii="Times New Roman" w:hAnsi="Times New Roman"/>
          <w:i/>
          <w:sz w:val="20"/>
        </w:rPr>
        <w:t>niet-toerekenbare tekortkoming</w:t>
      </w:r>
      <w:r>
        <w:rPr>
          <w:rFonts w:ascii="Times New Roman" w:hAnsi="Times New Roman"/>
          <w:sz w:val="20"/>
        </w:rPr>
        <w:t>) or reasonableness and fairness (</w:t>
      </w:r>
      <w:r>
        <w:rPr>
          <w:rFonts w:ascii="Times New Roman" w:hAnsi="Times New Roman"/>
          <w:i/>
          <w:sz w:val="20"/>
        </w:rPr>
        <w:t>redelijkheid en billijkheid</w:t>
      </w:r>
      <w:r>
        <w:rPr>
          <w:rFonts w:ascii="Times New Roman" w:hAnsi="Times New Roman"/>
          <w:sz w:val="20"/>
        </w:rPr>
        <w:t>), regardless of any insolvency situation occurring. Other impeding factors include the right to suspend performance (</w:t>
      </w:r>
      <w:r>
        <w:rPr>
          <w:rFonts w:ascii="Times New Roman" w:hAnsi="Times New Roman"/>
          <w:i/>
          <w:sz w:val="20"/>
        </w:rPr>
        <w:t>opschorting</w:t>
      </w:r>
      <w:r>
        <w:rPr>
          <w:rFonts w:ascii="Times New Roman" w:hAnsi="Times New Roman"/>
          <w:sz w:val="20"/>
        </w:rPr>
        <w:t>), dissolution of contract (</w:t>
      </w:r>
      <w:r>
        <w:rPr>
          <w:rFonts w:ascii="Times New Roman" w:hAnsi="Times New Roman"/>
          <w:i/>
          <w:sz w:val="20"/>
        </w:rPr>
        <w:t>ontbinding</w:t>
      </w:r>
      <w:r>
        <w:rPr>
          <w:rFonts w:ascii="Times New Roman" w:hAnsi="Times New Roman"/>
          <w:sz w:val="20"/>
        </w:rPr>
        <w:t>) and set-off (</w:t>
      </w:r>
      <w:r>
        <w:rPr>
          <w:rFonts w:ascii="Times New Roman" w:hAnsi="Times New Roman"/>
          <w:i/>
          <w:sz w:val="20"/>
        </w:rPr>
        <w:t>verrekening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Finally, a guarantee provided by a Dutch company may be suspended or voided by the Enterprise Chamber of the Amsterdam Court of Appeal (</w:t>
      </w:r>
      <w:r>
        <w:rPr>
          <w:rFonts w:ascii="Times New Roman" w:hAnsi="Times New Roman"/>
          <w:i/>
          <w:sz w:val="20"/>
        </w:rPr>
        <w:t>Ondernemingskamer</w:t>
      </w:r>
      <w:r>
        <w:rPr>
          <w:rFonts w:ascii="Times New Roman" w:hAnsi="Times New Roman"/>
          <w:sz w:val="20"/>
        </w:rPr>
        <w:t xml:space="preserve">) at the request of (a) the holders of (i) at least 10% of the shares or (ii) shares or depositary receipts with a nominal value of at least EUR 225,000 or such lesser amount as provided in the companys articles of association, (b) a trade union, or (c) other entities thereto authorized in the companys articles of association. Similarly, the guarantee itself may be upheld by the Enterprise Chamber, yet payment under it may be suspended or avoided.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Enforcement of U.S. Judgments in the Netherlands </w:t>
      </w:r>
    </w:p>
    <w:p>
      <w:pPr>
        <w:pStyle w:val="TextBody"/>
        <w:bidi w:val="0"/>
        <w:spacing w:before="120" w:after="0"/>
        <w:jc w:val="left"/>
        <w:rPr>
          <w:rFonts w:ascii="Times New Roman" w:hAnsi="Times New Roman"/>
          <w:sz w:val="20"/>
        </w:rPr>
      </w:pPr>
      <w:r>
        <w:rPr>
          <w:rFonts w:ascii="Times New Roman" w:hAnsi="Times New Roman"/>
          <w:sz w:val="20"/>
        </w:rPr>
        <w:t xml:space="preserve">See Enforcement of Civil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94185_10"/>
      <w:bookmarkEnd w:id="12"/>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Barclays Capital Inc., Goldman Sachs &amp; Co. LLC, J.P. Morgan Securities LLC, PNC Capital Markets LLC and UBS Securities LLC are acting as representatives of each of the underwriters (the </w:t>
      </w:r>
      <w:r>
        <w:rPr>
          <w:rFonts w:ascii="Times New Roman" w:hAnsi="Times New Roman"/>
          <w:i/>
          <w:sz w:val="20"/>
        </w:rPr>
        <w:t>Underwriters</w:t>
      </w:r>
      <w:r>
        <w:rPr>
          <w:rFonts w:ascii="Times New Roman" w:hAnsi="Times New Roman"/>
          <w:sz w:val="20"/>
        </w:rPr>
        <w:t xml:space="preserve">) named below. Subject to the terms and conditions set forth in the underwriting agreement among us, the Parent and the Underwriters, we have agreed to sell to the Underwriters, and each of the Underwriters has agreed, severally and not jointly, to purchase from us, the aggregate principal amount of Notes set forth opposite its name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0"/>
        <w:gridCol w:w="208"/>
        <w:gridCol w:w="140"/>
        <w:gridCol w:w="1246"/>
        <w:gridCol w:w="60"/>
        <w:gridCol w:w="208"/>
        <w:gridCol w:w="140"/>
        <w:gridCol w:w="1246"/>
        <w:gridCol w:w="60"/>
        <w:gridCol w:w="208"/>
        <w:gridCol w:w="140"/>
        <w:gridCol w:w="1246"/>
        <w:gridCol w:w="63"/>
      </w:tblGrid>
      <w:tr>
        <w:trPr/>
        <w:tc>
          <w:tcPr>
            <w:tcW w:w="524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40" w:type="dxa"/>
            <w:tcBorders/>
            <w:vAlign w:val="bottom"/>
          </w:tcPr>
          <w:p>
            <w:pPr>
              <w:pStyle w:val="TableContents"/>
              <w:pBdr>
                <w:bottom w:val="single" w:sz="8" w:space="1" w:color="000000"/>
              </w:pBdr>
              <w:bidi w:val="0"/>
              <w:spacing w:before="0" w:after="20"/>
              <w:jc w:val="left"/>
              <w:rPr>
                <w:rFonts w:ascii="Times New Roman" w:hAnsi="Times New Roman"/>
                <w:b/>
                <w:sz w:val="20"/>
              </w:rPr>
            </w:pPr>
            <w:r>
              <w:rPr>
                <w:rFonts w:ascii="Times New Roman" w:hAnsi="Times New Roman"/>
                <w:b/>
                <w:sz w:val="20"/>
              </w:rPr>
              <w:t>Underwriter</w:t>
            </w:r>
          </w:p>
        </w:tc>
        <w:tc>
          <w:tcPr>
            <w:tcW w:w="208"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2028 Notes</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2032 Notes</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2035 Notes</w:t>
            </w:r>
          </w:p>
        </w:tc>
        <w:tc>
          <w:tcPr>
            <w:tcW w:w="63"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73,750,000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44,250,000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103,250,000</w:t>
            </w:r>
          </w:p>
        </w:tc>
        <w:tc>
          <w:tcPr>
            <w:tcW w:w="63"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73,750,000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44,250,000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103,250,000</w:t>
            </w:r>
          </w:p>
        </w:tc>
        <w:tc>
          <w:tcPr>
            <w:tcW w:w="63"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73,750,000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44,250,000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103,250,000</w:t>
            </w:r>
          </w:p>
        </w:tc>
        <w:tc>
          <w:tcPr>
            <w:tcW w:w="63"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73,750,000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44,250,000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103,250,000</w:t>
            </w:r>
          </w:p>
        </w:tc>
        <w:tc>
          <w:tcPr>
            <w:tcW w:w="63"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73,750,000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44,250,000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103,250,000</w:t>
            </w:r>
          </w:p>
        </w:tc>
        <w:tc>
          <w:tcPr>
            <w:tcW w:w="63"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12,000,000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28,000,000</w:t>
            </w:r>
          </w:p>
        </w:tc>
        <w:tc>
          <w:tcPr>
            <w:tcW w:w="63"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28,000,000</w:t>
            </w:r>
          </w:p>
        </w:tc>
        <w:tc>
          <w:tcPr>
            <w:tcW w:w="63"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DBS Bank Ltd.</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12,000,000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28,000,000</w:t>
            </w:r>
          </w:p>
        </w:tc>
        <w:tc>
          <w:tcPr>
            <w:tcW w:w="63"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28,000,000</w:t>
            </w:r>
          </w:p>
        </w:tc>
        <w:tc>
          <w:tcPr>
            <w:tcW w:w="63"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12,000,000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28,000,000</w:t>
            </w:r>
          </w:p>
        </w:tc>
        <w:tc>
          <w:tcPr>
            <w:tcW w:w="63"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28,000,000</w:t>
            </w:r>
          </w:p>
        </w:tc>
        <w:tc>
          <w:tcPr>
            <w:tcW w:w="63"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Rabo Securities USA, Inc.</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11,250,000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6,750,000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15,750,000</w:t>
            </w:r>
          </w:p>
        </w:tc>
        <w:tc>
          <w:tcPr>
            <w:tcW w:w="63" w:type="dxa"/>
            <w:tcBorders/>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700,000,000</w:t>
            </w:r>
          </w:p>
        </w:tc>
        <w:tc>
          <w:tcPr>
            <w:tcW w:w="63"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U.S. Securities Act, or to contribute to payments the Underwriters may be required to make in respect of those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Notes sold by the Underwriters to the public initially will be offered at the initial public offering price for the series of Notes set forth on the cover of this prospectus supplement. Any Notes sold by the Underwriters to securities dealers may be sold at a discount from the initial public offering price of up to 0.250% of the principal amount of the 2028 Notes, 0.250% of the principal amount of the 2032 Notes and 0.250% of the principal amount of the 2035 Notes. Any such securities dealers may resell any Notes purchased from the Underwriters to certain other brokers or dealers at a discount from the initial public offering price of up to 0.125% of the principal amount of the 2028 Notes, 0.125% of the principal amount of the 2032 Notes and 0.125% of the principal amount of the 2035 Notes. If all the Notes are not sold at their initial offering price, the Underwriters may change the offering prices and the other selling terms. The offering of the Notes by the Underwriters is subject to receipt and acceptance and subject to the Underwriters right to reject any order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underwriting discounts that we will pay to the Underwriters in connection with this offering (expressed as a percentage of the principal amount of the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92"/>
        <w:gridCol w:w="710"/>
        <w:gridCol w:w="105"/>
        <w:gridCol w:w="1020"/>
        <w:gridCol w:w="278"/>
      </w:tblGrid>
      <w:tr>
        <w:trPr/>
        <w:tc>
          <w:tcPr>
            <w:tcW w:w="8092" w:type="dxa"/>
            <w:tcBorders/>
            <w:vAlign w:val="center"/>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8092"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78" w:type="dxa"/>
            <w:tcBorders/>
            <w:vAlign w:val="bottom"/>
          </w:tcPr>
          <w:p>
            <w:pPr>
              <w:pStyle w:val="TableContents"/>
              <w:bidi w:val="0"/>
              <w:spacing w:before="0" w:after="283"/>
              <w:jc w:val="left"/>
              <w:rPr/>
            </w:pPr>
            <w:r>
              <w:rPr/>
              <w:t> </w:t>
            </w:r>
          </w:p>
        </w:tc>
      </w:tr>
      <w:tr>
        <w:trPr/>
        <w:tc>
          <w:tcPr>
            <w:tcW w:w="8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2028 Note</w:t>
            </w:r>
          </w:p>
        </w:tc>
        <w:tc>
          <w:tcPr>
            <w:tcW w:w="71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0.400</w:t>
            </w:r>
          </w:p>
        </w:tc>
        <w:tc>
          <w:tcPr>
            <w:tcW w:w="278" w:type="dxa"/>
            <w:tcBorders/>
            <w:shd w:fill="CCEEFF" w:val="clear"/>
            <w:vAlign w:val="bottom"/>
          </w:tcPr>
          <w:p>
            <w:pPr>
              <w:pStyle w:val="TableContents"/>
              <w:bidi w:val="0"/>
              <w:spacing w:before="0" w:after="283"/>
              <w:jc w:val="left"/>
              <w:rPr/>
            </w:pPr>
            <w:r>
              <w:rPr/>
              <w:t>% </w:t>
            </w:r>
          </w:p>
        </w:tc>
      </w:tr>
      <w:tr>
        <w:trPr/>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Per 2032 Note</w:t>
            </w:r>
          </w:p>
        </w:tc>
        <w:tc>
          <w:tcPr>
            <w:tcW w:w="71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0.400</w:t>
            </w:r>
          </w:p>
        </w:tc>
        <w:tc>
          <w:tcPr>
            <w:tcW w:w="278" w:type="dxa"/>
            <w:tcBorders/>
            <w:vAlign w:val="bottom"/>
          </w:tcPr>
          <w:p>
            <w:pPr>
              <w:pStyle w:val="TableContents"/>
              <w:bidi w:val="0"/>
              <w:spacing w:before="0" w:after="283"/>
              <w:jc w:val="left"/>
              <w:rPr/>
            </w:pPr>
            <w:r>
              <w:rPr/>
              <w:t>% </w:t>
            </w:r>
          </w:p>
        </w:tc>
      </w:tr>
      <w:tr>
        <w:trPr/>
        <w:tc>
          <w:tcPr>
            <w:tcW w:w="80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Per 2035 Note</w:t>
            </w:r>
          </w:p>
        </w:tc>
        <w:tc>
          <w:tcPr>
            <w:tcW w:w="71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0.400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New Issue of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new issues of securities with no established trading markets. We do not intend to apply for listing of the Notes on any national securities exchange or for inclusion of the Notes on any automated dealer quotation system. We have been advised by certain of the Underwriters that they presently intend to make markets in the Notes after completion of the offering. However, they are under no obligation to do so and may discontinue any market-making activities at any time without any notice. We cannot assure the liquidity of the trading markets for the Notes. If active trading markets for the Notes do not develop, the market prices and liquidity of the Notes may be adversely affected. If the Notes are traded, they may trade at a discount from their initial offering prices, depending on prevailing interest rates, the market for similar securities, our operating performance and financial condition, general economic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underwriting discounts, will be approximately $2,000,000. </w:t>
      </w:r>
    </w:p>
    <w:p>
      <w:pPr>
        <w:pStyle w:val="TextBody"/>
        <w:bidi w:val="0"/>
        <w:spacing w:before="360" w:after="0"/>
        <w:jc w:val="left"/>
        <w:rPr>
          <w:rFonts w:ascii="Times New Roman" w:hAnsi="Times New Roman"/>
          <w:b/>
          <w:sz w:val="20"/>
        </w:rPr>
      </w:pPr>
      <w:r>
        <w:rPr>
          <w:rFonts w:ascii="Times New Roman" w:hAnsi="Times New Roman"/>
          <w:b/>
          <w:sz w:val="20"/>
        </w:rPr>
        <w:t xml:space="preserve">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prices of the Notes in the open market after pricing that could adversely affect investors who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prices of the Notes or preventing or retarding a decline in the market prices of the Notes. As a result, the prices of the Notes may be higher than the prices that might otherwise exist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prices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engaged in, and may in the future engage in, investment banking, financial advisory, commercial banking and other commercial dealings in the ordinary course of business with us or our affiliates. In addition, certain of the Underwriters and/or their affiliates are lenders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Revolving Credit Agreement, the Facility Agreements and/or Commercial Paper Program. They have received, or may in the future receive, customary fees and commissions and reimbursement of expenses for these transactions. In addition, an affiliate of Deutsche Bank Securities Inc. is the Trustee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business activities, the Underwriters and their affiliates may enter into arms-length transactions with us or our affiliates or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and/or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Extended Settlement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that delivery of the notes will be made against payment therefor on or about August 19, 2025, which will be the fifth business day after the date of the prospectus supplement. Under Rule 15c6-1 of the Securities and Exchange Commission (the SEC) under the Securities Exchange Act of 1934, as amended, trades in the secondary market generally are required to settle in one business day, unless the parties to a trade expressly agree otherwise. Accordingly, purchasers who wish to trade the notes on any day prior to the business day before the Settlement Date will be required, by virtue of the fact that the notses will settle in five business days, to specify an alternative settlement cycle at the time of any such trade to prevent a failed settlement. Such purchasers should consult their own advisors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our intended use of a portion of the net proceeds from this offering to redeem the outstanding 5.350% 2026 Notes and 3.875% 2026 Notes,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Notes or possession or distribution of this prospectus supplement and the accompanying prospectus or any other offering or publicity material relating to the Notes in any country or jurisdiction where any such action for that purpose is required. Accordingly, the Underwriters have undertaken that they will not, directly or indirectly, offer or sell any Notes or have in its possession, distribute or publish any prospectus, offering memorandum, form of application, advertisement or other document or information in any country or jurisdiction except under circumstances that will, to the best of its knowledge and belief, result in compliance with any applicable laws and regulations and all offers and sales of Notes by it will be made on the same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Sales of the Notes in the United States by any underwriter that is not a broker-dealer registered with the SEC will be made only through one or more U.S.-registered broker-dealers in compliance with applicable securities laws and the rules of FINRA.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The Notes are not intended to be offered, sold or otherwise made available to and should not be offered, sold or otherwise made available to any retail investor in the European Economic Area (</w:t>
      </w:r>
      <w:r>
        <w:rPr>
          <w:rFonts w:ascii="Times New Roman" w:hAnsi="Times New Roman"/>
          <w:i/>
          <w:sz w:val="20"/>
        </w:rPr>
        <w:t>EEA</w:t>
      </w:r>
      <w:r>
        <w:rPr>
          <w:rFonts w:ascii="Times New Roman" w:hAnsi="Times New Roman"/>
          <w:sz w:val="20"/>
        </w:rPr>
        <w:t>). For these purposes, a retail investor means a person who is one (or more) of: (i) a retail client as defined in point (11) of Article 4(1) of Directive 2014/65/EU (as amended, </w:t>
      </w:r>
      <w:r>
        <w:rPr>
          <w:rFonts w:ascii="Times New Roman" w:hAnsi="Times New Roman"/>
          <w:i/>
          <w:sz w:val="20"/>
        </w:rPr>
        <w:t>MiFID II</w:t>
      </w:r>
      <w:r>
        <w:rPr>
          <w:rFonts w:ascii="Times New Roman" w:hAnsi="Times New Roman"/>
          <w:sz w:val="20"/>
        </w:rPr>
        <w:t>); or (ii) a customer within the meaning of Directive (EU) 2016/97 (as amended, the </w:t>
      </w:r>
      <w:r>
        <w:rPr>
          <w:rFonts w:ascii="Times New Roman" w:hAnsi="Times New Roman"/>
          <w:i/>
          <w:sz w:val="20"/>
        </w:rPr>
        <w:t>Insurance Distribution Directive</w:t>
      </w:r>
      <w:r>
        <w:rPr>
          <w:rFonts w:ascii="Times New Roman" w:hAnsi="Times New Roman"/>
          <w:sz w:val="20"/>
        </w:rPr>
        <w:t>), where that customer would not qualify as a professional client as defined in point (10) of Article 4(1) of MiFID II; or (iii) not a qualified investor as defined in Regulation (EU) 2017/1129 (the </w:t>
      </w:r>
      <w:r>
        <w:rPr>
          <w:rFonts w:ascii="Times New Roman" w:hAnsi="Times New Roman"/>
          <w:i/>
          <w:sz w:val="20"/>
        </w:rPr>
        <w:t>Prospectus Regulation</w:t>
      </w:r>
      <w:r>
        <w:rPr>
          <w:rFonts w:ascii="Times New Roman" w:hAnsi="Times New Roman"/>
          <w:sz w:val="20"/>
        </w:rPr>
        <w:t>). Consequently, no key information document required by Regulation (EU) No 1286/2014 (as amended, the </w:t>
      </w:r>
      <w:r>
        <w:rPr>
          <w:rFonts w:ascii="Times New Roman" w:hAnsi="Times New Roman"/>
          <w:i/>
          <w:sz w:val="20"/>
        </w:rPr>
        <w:t>PRIIPs Regulation</w:t>
      </w:r>
      <w:r>
        <w:rPr>
          <w:rFonts w:ascii="Times New Roman" w:hAnsi="Times New Roman"/>
          <w:sz w:val="20"/>
        </w:rPr>
        <w:t xml:space="preserve">)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Prohibition of Sales to United Kingdom Retail Investors </w:t>
      </w:r>
    </w:p>
    <w:p>
      <w:pPr>
        <w:pStyle w:val="TextBody"/>
        <w:bidi w:val="0"/>
        <w:spacing w:before="120" w:after="0"/>
        <w:jc w:val="left"/>
        <w:rPr>
          <w:rFonts w:ascii="Times New Roman" w:hAnsi="Times New Roman"/>
          <w:sz w:val="20"/>
        </w:rPr>
      </w:pPr>
      <w:r>
        <w:rPr>
          <w:rFonts w:ascii="Times New Roman" w:hAnsi="Times New Roman"/>
          <w:sz w:val="20"/>
        </w:rPr>
        <w:t>The Notes are not intended to be offered, sold or otherwise made available to and should not be offered, sold or otherwise made available to any retail investor in the United Kingdom (</w:t>
      </w:r>
      <w:r>
        <w:rPr>
          <w:rFonts w:ascii="Times New Roman" w:hAnsi="Times New Roman"/>
          <w:i/>
          <w:sz w:val="20"/>
        </w:rPr>
        <w:t>UK</w:t>
      </w:r>
      <w:r>
        <w:rPr>
          <w:rFonts w:ascii="Times New Roman" w:hAnsi="Times New Roman"/>
          <w:sz w:val="20"/>
        </w:rPr>
        <w:t>). For these purposes, a retail investor means a person who is one (or more) of: (i) a retail client, as defined in point (8) of Article 2 of Regulation (EU) No 2017/565 as it forms part of domestic law by virtue of the European Union (Withdrawal) Act 2018 (</w:t>
      </w:r>
      <w:r>
        <w:rPr>
          <w:rFonts w:ascii="Times New Roman" w:hAnsi="Times New Roman"/>
          <w:i/>
          <w:sz w:val="20"/>
        </w:rPr>
        <w:t>EUWA</w:t>
      </w:r>
      <w:r>
        <w:rPr>
          <w:rFonts w:ascii="Times New Roman" w:hAnsi="Times New Roman"/>
          <w:sz w:val="20"/>
        </w:rPr>
        <w:t>); (ii) a customer within the meaning of the provisions of the Financial Services and Markets Act 2000 (</w:t>
      </w:r>
      <w:r>
        <w:rPr>
          <w:rFonts w:ascii="Times New Roman" w:hAnsi="Times New Roman"/>
          <w:i/>
          <w:sz w:val="20"/>
        </w:rPr>
        <w:t>FSMA</w:t>
      </w:r>
      <w:r>
        <w:rPr>
          <w:rFonts w:ascii="Times New Roman" w:hAnsi="Times New Roman"/>
          <w:sz w:val="20"/>
        </w:rPr>
        <w:t>)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w:t>
      </w:r>
      <w:r>
        <w:rPr>
          <w:rFonts w:ascii="Times New Roman" w:hAnsi="Times New Roman"/>
          <w:i/>
          <w:sz w:val="20"/>
        </w:rPr>
        <w:t>UK PRIIPs Regulation</w:t>
      </w:r>
      <w:r>
        <w:rPr>
          <w:rFonts w:ascii="Times New Roman" w:hAnsi="Times New Roman"/>
          <w:sz w:val="20"/>
        </w:rPr>
        <w:t xml:space="preserve">)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In addition, in the UK, this prospectus supplement and the accompanying prospectus are being distributed only to, and is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w:t>
      </w:r>
      <w:r>
        <w:rPr>
          <w:rFonts w:ascii="Times New Roman" w:hAnsi="Times New Roman"/>
          <w:i/>
          <w:sz w:val="20"/>
        </w:rPr>
        <w:t>Order</w:t>
      </w:r>
      <w:r>
        <w:rPr>
          <w:rFonts w:ascii="Times New Roman" w:hAnsi="Times New Roman"/>
          <w:sz w:val="20"/>
        </w:rPr>
        <w:t xml:space="preserve">),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Pursuant to section 3A.3 of National Instrument 33-105 Underwriting Conflicts (</w:t>
      </w:r>
      <w:r>
        <w:rPr>
          <w:rFonts w:ascii="Times New Roman" w:hAnsi="Times New Roman"/>
          <w:i/>
          <w:sz w:val="20"/>
        </w:rPr>
        <w:t>NI 33-105</w:t>
      </w:r>
      <w:r>
        <w:rPr>
          <w:rFonts w:ascii="Times New Roman" w:hAnsi="Times New Roman"/>
          <w:sz w:val="20"/>
        </w:rPr>
        <w:t xml:space="preserve">), the Underwriters are not required to comply with the disclosure requirements of NI 33-105 regarding underwriter conflicts of interest in connection with this offering. Upon receipt of this prospectus supplement and the accompanying prospectus,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w:t>
      </w:r>
      <w:r>
        <w:rPr>
          <w:rFonts w:ascii="Times New Roman" w:hAnsi="Times New Roman"/>
          <w:i/>
          <w:sz w:val="20"/>
        </w:rPr>
        <w:t>FinSA</w:t>
      </w:r>
      <w:r>
        <w:rPr>
          <w:rFonts w:ascii="Times New Roman" w:hAnsi="Times New Roman"/>
          <w:sz w:val="20"/>
        </w:rPr>
        <w:t xml:space="preserve">) and no application has or will be made to admit the Notes to trading on any trading venue (exchange or multilateral trading facility) in Switzerland. Neither this prospectus supplement or accompanying prospectus nor any other offering or marketing material relating to the Notes constitutes a prospectus pursuant to the FinSA, and neither this prospectus supplement or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Center </w:t>
      </w:r>
    </w:p>
    <w:p>
      <w:pPr>
        <w:pStyle w:val="TextBody"/>
        <w:bidi w:val="0"/>
        <w:spacing w:before="120" w:after="0"/>
        <w:jc w:val="left"/>
        <w:rPr>
          <w:rFonts w:ascii="Times New Roman" w:hAnsi="Times New Roman"/>
          <w:sz w:val="20"/>
        </w:rPr>
      </w:pPr>
      <w:r>
        <w:rPr>
          <w:rFonts w:ascii="Times New Roman" w:hAnsi="Times New Roman"/>
          <w:sz w:val="20"/>
        </w:rPr>
        <w:t>This prospectus supplement and the accompanying prospectus relates to an Exempt Offer in accordance with the Offered Securities Rules of the Dubai Financial Services Authority (</w:t>
      </w:r>
      <w:r>
        <w:rPr>
          <w:rFonts w:ascii="Times New Roman" w:hAnsi="Times New Roman"/>
          <w:i/>
          <w:sz w:val="20"/>
        </w:rPr>
        <w:t>DFSA</w:t>
      </w:r>
      <w:r>
        <w:rPr>
          <w:rFonts w:ascii="Times New Roman" w:hAnsi="Times New Roman"/>
          <w:sz w:val="20"/>
        </w:rPr>
        <w:t xml:space="preserve">).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and the accompanying prospectus,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No placement document, prospectus, product disclosure statement or other disclosure document has been lodged with the Australian Securities and Investments Commission (</w:t>
      </w:r>
      <w:r>
        <w:rPr>
          <w:rFonts w:ascii="Times New Roman" w:hAnsi="Times New Roman"/>
          <w:i/>
          <w:sz w:val="20"/>
        </w:rPr>
        <w:t>ASIC</w:t>
      </w:r>
      <w:r>
        <w:rPr>
          <w:rFonts w:ascii="Times New Roman" w:hAnsi="Times New Roman"/>
          <w:sz w:val="20"/>
        </w:rPr>
        <w:t>), in relation to the offering. This prospectus supplement and the accompanying prospectus do not constitute a prospectus, product disclosure statement or other disclosure document under the Corporations Act 2001 (the </w:t>
      </w:r>
      <w:r>
        <w:rPr>
          <w:rFonts w:ascii="Times New Roman" w:hAnsi="Times New Roman"/>
          <w:i/>
          <w:sz w:val="20"/>
        </w:rPr>
        <w:t>Corporations Act</w:t>
      </w:r>
      <w:r>
        <w:rPr>
          <w:rFonts w:ascii="Times New Roman" w:hAnsi="Times New Roman"/>
          <w:sz w:val="20"/>
        </w:rPr>
        <w:t xml:space="preserve">),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Any offer in Australia of the Notes may only be made to persons (the </w:t>
      </w:r>
      <w:r>
        <w:rPr>
          <w:rFonts w:ascii="Times New Roman" w:hAnsi="Times New Roman"/>
          <w:i/>
          <w:sz w:val="20"/>
        </w:rPr>
        <w:t>Exempt Investors</w:t>
      </w:r>
      <w:r>
        <w:rPr>
          <w:rFonts w:ascii="Times New Roman" w:hAnsi="Times New Roman"/>
          <w:sz w:val="20"/>
        </w:rPr>
        <w:t xml:space="preserve">)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supplement and the accompanying prospectus being a prospectus as defined in the Companies (Winding Up and Miscellaneous Provisions) Ordinance (Cap. 32 of the Laws of Hong Kong) (the CO) or which do not constitute an offer to the public within the meaning of the CO. None of the underwriters or the Company has issued or had in its possession for the purposes of issue, and none of the underwriters or the Company will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the Notes may not be offered or sold, or made the subject of an invitation for subscription or purchase, nor may this prospectus supplement, the accompanying prospectus or any other document or material in connection with the offer or sale, or invitation for subscription or purchase of the Notes be circulated, whether directly or indirectly, to any person in Singapore other than (i) to an institutional investor (as defined in Section 4A of the Securities and Futures Act 2001 of Singapore, as modified or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94185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Skadden, Arps, Slate, Meagher &amp; Flom LLP, as to matters of U.S. federal and New York state law, and by De Brauw Blackstone Westbroek N.V., as to matters of Dutch law. Certain legal matters in connection with this offering will be passed upon for the underwriters by Davis Polk &amp; Wardwell LLP, New York, New York as to matters of U.S. federal and New York state law. </w:t>
      </w:r>
    </w:p>
    <w:p>
      <w:pPr>
        <w:pStyle w:val="TextBody"/>
        <w:bidi w:val="0"/>
        <w:spacing w:before="480" w:after="0"/>
        <w:jc w:val="center"/>
        <w:rPr>
          <w:rFonts w:ascii="Times New Roman" w:hAnsi="Times New Roman"/>
          <w:b/>
          <w:sz w:val="20"/>
        </w:rPr>
      </w:pPr>
      <w:bookmarkStart w:id="14" w:name="supptoc94185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NXP Semiconductors N.V. appearing in NXP Semiconductors N.V.s Annual Report (Form 10-K) for the years ended December 31, 2024 and 2023, and for each of the three years in the period ended December 31, 2024, and the effectiveness of NXP Semiconductors N.V.s internal control over financial reporting as of December 31, 2024, have been audited by EY Accountants B.V.,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582420" cy="5384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582420" cy="5384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4"/>
        </w:rPr>
      </w:pPr>
      <w:r>
        <w:rPr>
          <w:rFonts w:ascii="Times New Roman" w:hAnsi="Times New Roman"/>
          <w:b/>
          <w:sz w:val="44"/>
        </w:rPr>
        <w:t xml:space="preserve">NXP B.V. </w:t>
      </w:r>
    </w:p>
    <w:p>
      <w:pPr>
        <w:pStyle w:val="TextBody"/>
        <w:bidi w:val="0"/>
        <w:spacing w:before="0" w:after="0"/>
        <w:jc w:val="center"/>
        <w:rPr>
          <w:rFonts w:ascii="Times New Roman" w:hAnsi="Times New Roman"/>
          <w:b/>
          <w:sz w:val="44"/>
        </w:rPr>
      </w:pPr>
      <w:r>
        <w:rPr>
          <w:rFonts w:ascii="Times New Roman" w:hAnsi="Times New Roman"/>
          <w:b/>
          <w:sz w:val="44"/>
        </w:rPr>
        <w:t xml:space="preserve">NXP Funding LLC </w:t>
      </w:r>
    </w:p>
    <w:p>
      <w:pPr>
        <w:pStyle w:val="TextBody"/>
        <w:bidi w:val="0"/>
        <w:spacing w:before="0" w:after="0"/>
        <w:jc w:val="center"/>
        <w:rPr>
          <w:rFonts w:ascii="Times New Roman" w:hAnsi="Times New Roman"/>
          <w:b/>
          <w:sz w:val="44"/>
        </w:rPr>
      </w:pPr>
      <w:r>
        <w:rPr>
          <w:rFonts w:ascii="Times New Roman" w:hAnsi="Times New Roman"/>
          <w:b/>
          <w:sz w:val="44"/>
        </w:rPr>
        <w:t xml:space="preserve">NXP USA, Inc.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fully and unconditionally guaranteed by NXP Semiconductors N.V. </w:t>
      </w:r>
    </w:p>
    <w:p>
      <w:pPr>
        <w:pStyle w:val="TextBody"/>
        <w:bidi w:val="0"/>
        <w:spacing w:before="240" w:after="0"/>
        <w:jc w:val="center"/>
        <w:rPr>
          <w:rFonts w:ascii="Times New Roman" w:hAnsi="Times New Roman"/>
          <w:b/>
          <w:sz w:val="44"/>
        </w:rPr>
      </w:pPr>
      <w:r>
        <w:rPr>
          <w:rFonts w:ascii="Times New Roman" w:hAnsi="Times New Roman"/>
          <w:b/>
          <w:sz w:val="44"/>
        </w:rPr>
        <w:t xml:space="preserve">NXP Semiconductors N.V. </w:t>
      </w:r>
    </w:p>
    <w:p>
      <w:pPr>
        <w:pStyle w:val="TextBody"/>
        <w:bidi w:val="0"/>
        <w:spacing w:before="0" w:after="0"/>
        <w:jc w:val="center"/>
        <w:rPr>
          <w:rFonts w:ascii="Times New Roman" w:hAnsi="Times New Roman"/>
          <w:b/>
          <w:sz w:val="20"/>
        </w:rPr>
      </w:pPr>
      <w:r>
        <w:rPr>
          <w:rFonts w:ascii="Times New Roman" w:hAnsi="Times New Roman"/>
          <w:b/>
          <w:sz w:val="20"/>
        </w:rPr>
        <w:t xml:space="preserve">Guarantees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NXP B.V. (the </w:t>
      </w:r>
      <w:r>
        <w:rPr>
          <w:rFonts w:ascii="Times New Roman" w:hAnsi="Times New Roman"/>
          <w:b/>
          <w:sz w:val="20"/>
        </w:rPr>
        <w:t>Company</w:t>
      </w:r>
      <w:r>
        <w:rPr>
          <w:rFonts w:ascii="Times New Roman" w:hAnsi="Times New Roman"/>
          <w:sz w:val="20"/>
        </w:rPr>
        <w:t>), NXP Funding LLC (</w:t>
      </w:r>
      <w:r>
        <w:rPr>
          <w:rFonts w:ascii="Times New Roman" w:hAnsi="Times New Roman"/>
          <w:b/>
          <w:sz w:val="20"/>
        </w:rPr>
        <w:t>NXP Funding</w:t>
      </w:r>
      <w:r>
        <w:rPr>
          <w:rFonts w:ascii="Times New Roman" w:hAnsi="Times New Roman"/>
          <w:sz w:val="20"/>
        </w:rPr>
        <w:t>) and NXP USA, Inc. (</w:t>
      </w:r>
      <w:r>
        <w:rPr>
          <w:rFonts w:ascii="Times New Roman" w:hAnsi="Times New Roman"/>
          <w:b/>
          <w:sz w:val="20"/>
        </w:rPr>
        <w:t>NXP USA</w:t>
      </w:r>
      <w:r>
        <w:rPr>
          <w:rFonts w:ascii="Times New Roman" w:hAnsi="Times New Roman"/>
          <w:sz w:val="20"/>
        </w:rPr>
        <w:t> and together with the Company and NXP Funding, the </w:t>
      </w:r>
      <w:r>
        <w:rPr>
          <w:rFonts w:ascii="Times New Roman" w:hAnsi="Times New Roman"/>
          <w:b/>
          <w:sz w:val="20"/>
        </w:rPr>
        <w:t>Issuers</w:t>
      </w:r>
      <w:r>
        <w:rPr>
          <w:rFonts w:ascii="Times New Roman" w:hAnsi="Times New Roman"/>
          <w:sz w:val="20"/>
        </w:rPr>
        <w:t>) may offer, issue and sell, together or separately, debt securities, which will be fully and unconditionally guaranteed on a senior unsecured basis by the parent company of the Issuers, NXP Semiconductors N.V. (the </w:t>
      </w:r>
      <w:r>
        <w:rPr>
          <w:rFonts w:ascii="Times New Roman" w:hAnsi="Times New Roman"/>
          <w:b/>
          <w:sz w:val="20"/>
        </w:rPr>
        <w:t>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 debt securities to be offered. The specific terms of any debt securities to be offered will be described in supplements to this prospectus, which may also add, update or change information contained in this prospectus. You should read this prospectus and the applicable supplement carefully before you make your investment decision.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sell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number of risks. See </w:t>
      </w:r>
      <w:hyperlink w:anchor="tx94185_6">
        <w:r>
          <w:rPr>
            <w:rStyle w:val="InternetLink"/>
            <w:rFonts w:ascii="Times New Roman" w:hAnsi="Times New Roman"/>
            <w:b/>
            <w:sz w:val="24"/>
          </w:rPr>
          <w:t>Risk Factors</w:t>
        </w:r>
      </w:hyperlink>
      <w:r>
        <w:rPr>
          <w:rFonts w:ascii="Times New Roman" w:hAnsi="Times New Roman"/>
          <w:b/>
          <w:sz w:val="24"/>
        </w:rPr>
        <w:t xml:space="preserve"> on page 7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Parents common stock is listed on The Nasdaq Global Select Market under the trading symbol NXPI. Each prospectus supplement will indicate whether the securities offered thereby will be listed on any securities exchange.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12,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9418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5">
              <w:r>
                <w:rPr>
                  <w:rStyle w:val="InternetLink"/>
                  <w:rFonts w:ascii="Times New Roman" w:hAnsi="Times New Roman"/>
                  <w:sz w:val="20"/>
                </w:rPr>
                <w:t>INFORMATION REGARDING THE ISSUERS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9">
              <w:r>
                <w:rPr>
                  <w:rStyle w:val="InternetLink"/>
                  <w:rFonts w:ascii="Times New Roman" w:hAnsi="Times New Roman"/>
                  <w:sz w:val="20"/>
                </w:rPr>
                <w:t>ENFORCEMENT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418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94185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an automatic shelf registration statement that the Parent filed with the Securities and Exchange Commission (the </w:t>
      </w:r>
      <w:r>
        <w:rPr>
          <w:rFonts w:ascii="Times New Roman" w:hAnsi="Times New Roman"/>
          <w:b/>
          <w:sz w:val="20"/>
        </w:rPr>
        <w:t>SEC</w:t>
      </w:r>
      <w:r>
        <w:rPr>
          <w:rFonts w:ascii="Times New Roman" w:hAnsi="Times New Roman"/>
          <w:sz w:val="20"/>
        </w:rPr>
        <w:t>) as a well-known seasoned issuer as defined in Rule 405 under the Securities Act of 1933, as amended (the </w:t>
      </w:r>
      <w:r>
        <w:rPr>
          <w:rFonts w:ascii="Times New Roman" w:hAnsi="Times New Roman"/>
          <w:b/>
          <w:sz w:val="20"/>
        </w:rPr>
        <w:t>Securities Act</w:t>
      </w:r>
      <w:r>
        <w:rPr>
          <w:rFonts w:ascii="Times New Roman" w:hAnsi="Times New Roman"/>
          <w:sz w:val="20"/>
        </w:rPr>
        <w:t xml:space="preserve">), using a shelf registration process. Under this process, the Issuers may, from time to time, in one or more offerings, sell debt securities fully and unconditionally guaranteed by the Parent. This prospectus only provides you with a general description of the securities that the Issuers and Parent may offer. Each time the Issuers and Parent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Issuers or the Parent has authorized anyone to provide you with any information other than that contained in or incorporated by reference into this prospectus, any accompanying prospectus supplement and any free writing prospectus prepared by or on behalf of the Issuers and the Parent. None of the Issuers or the Parent take any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When used in this prospectus, the terms the </w:t>
      </w:r>
      <w:r>
        <w:rPr>
          <w:rFonts w:ascii="Times New Roman" w:hAnsi="Times New Roman"/>
          <w:b/>
          <w:sz w:val="20"/>
        </w:rPr>
        <w:t>Company</w:t>
      </w:r>
      <w:r>
        <w:rPr>
          <w:rFonts w:ascii="Times New Roman" w:hAnsi="Times New Roman"/>
          <w:sz w:val="20"/>
        </w:rPr>
        <w:t xml:space="preserve">, we, our and us refer to NXP B.V. and its consolidated subsidiaries or to the Issuers, taken together, as the context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94185_2"/>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The Issuers are not currently subject to the periodic reporting and other information requirements of the Securities Exchange Act of 1934, as amended (the </w:t>
      </w:r>
      <w:r>
        <w:rPr>
          <w:rFonts w:ascii="Times New Roman" w:hAnsi="Times New Roman"/>
          <w:b/>
          <w:sz w:val="20"/>
        </w:rPr>
        <w:t>Exchange Act</w:t>
      </w:r>
      <w:r>
        <w:rPr>
          <w:rFonts w:ascii="Times New Roman" w:hAnsi="Times New Roman"/>
          <w:sz w:val="20"/>
        </w:rPr>
        <w:t xml:space="preserve">). However, the Parent is subject to the informational and reporting requirements of the Exchange Act, and, in accordance therewith, files or furnishes annual, quarterly and current reports and other information with the SEC. The reports and other information filed or furnished by the Parent with the SEC pursuant to the requirements of the Exchange Act may be viewed on the SECs website at </w:t>
      </w:r>
      <w:r>
        <w:rPr>
          <w:rFonts w:ascii="Times New Roman" w:hAnsi="Times New Roman"/>
          <w:sz w:val="20"/>
          <w:u w:val="single"/>
        </w:rPr>
        <w:t>www.sec.gov</w:t>
      </w:r>
      <w:r>
        <w:rPr>
          <w:rFonts w:ascii="Times New Roman" w:hAnsi="Times New Roman"/>
          <w:sz w:val="20"/>
        </w:rPr>
        <w:t xml:space="preserve">. The information contained on or accessible through the SECs website is expressly not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disclose important information to you by referring you to other documents filed by the Parent separately with the SEC. This information is considered to be a part of this prospectus and any accompanying prospectus supplement, except for any information that is superseded by information included directly in this prospectus or any accompanying prospectus supplement or incorporated by reference subsequent to the date of this prospectus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the Parent has previously filed with the SEC (other than information deemed furnished and not filed in accordance with SEC rules, including Items 2.02 and 7.01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w:t>
            </w:r>
            <w:hyperlink r:id="rId17">
              <w:r>
                <w:rPr>
                  <w:rStyle w:val="InternetLink"/>
                  <w:rFonts w:ascii="Times New Roman" w:hAnsi="Times New Roman"/>
                  <w:sz w:val="20"/>
                </w:rPr>
                <w:t>March 30, 2025</w:t>
              </w:r>
            </w:hyperlink>
            <w:r>
              <w:rPr>
                <w:rFonts w:ascii="Times New Roman" w:hAnsi="Times New Roman"/>
                <w:sz w:val="20"/>
              </w:rPr>
              <w:t xml:space="preserve"> and </w:t>
            </w:r>
            <w:hyperlink r:id="rId18">
              <w:r>
                <w:rPr>
                  <w:rStyle w:val="InternetLink"/>
                  <w:rFonts w:ascii="Times New Roman" w:hAnsi="Times New Roman"/>
                  <w:sz w:val="20"/>
                </w:rPr>
                <w:t>June 29,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19">
              <w:r>
                <w:rPr>
                  <w:rStyle w:val="InternetLink"/>
                  <w:rFonts w:ascii="Times New Roman" w:hAnsi="Times New Roman"/>
                  <w:sz w:val="20"/>
                </w:rPr>
                <w:t>January  7, 2025</w:t>
              </w:r>
            </w:hyperlink>
            <w:r>
              <w:rPr>
                <w:rFonts w:ascii="Times New Roman" w:hAnsi="Times New Roman"/>
                <w:sz w:val="20"/>
              </w:rPr>
              <w:t xml:space="preserve">, </w:t>
            </w:r>
            <w:hyperlink r:id="rId20">
              <w:r>
                <w:rPr>
                  <w:rStyle w:val="InternetLink"/>
                  <w:rFonts w:ascii="Times New Roman" w:hAnsi="Times New Roman"/>
                  <w:sz w:val="20"/>
                </w:rPr>
                <w:t>January  13, 2025</w:t>
              </w:r>
            </w:hyperlink>
            <w:r>
              <w:rPr>
                <w:rFonts w:ascii="Times New Roman" w:hAnsi="Times New Roman"/>
                <w:sz w:val="20"/>
              </w:rPr>
              <w:t xml:space="preserve">, </w:t>
            </w:r>
            <w:hyperlink r:id="rId21">
              <w:r>
                <w:rPr>
                  <w:rStyle w:val="InternetLink"/>
                  <w:rFonts w:ascii="Times New Roman" w:hAnsi="Times New Roman"/>
                  <w:sz w:val="20"/>
                </w:rPr>
                <w:t>February  10, 2025</w:t>
              </w:r>
            </w:hyperlink>
            <w:r>
              <w:rPr>
                <w:rFonts w:ascii="Times New Roman" w:hAnsi="Times New Roman"/>
                <w:sz w:val="20"/>
              </w:rPr>
              <w:t xml:space="preserve">, </w:t>
            </w:r>
            <w:hyperlink r:id="rId22">
              <w:r>
                <w:rPr>
                  <w:rStyle w:val="InternetLink"/>
                  <w:rFonts w:ascii="Times New Roman" w:hAnsi="Times New Roman"/>
                  <w:sz w:val="20"/>
                </w:rPr>
                <w:t>March  6, 2025</w:t>
              </w:r>
            </w:hyperlink>
            <w:r>
              <w:rPr>
                <w:rFonts w:ascii="Times New Roman" w:hAnsi="Times New Roman"/>
                <w:sz w:val="20"/>
              </w:rPr>
              <w:t xml:space="preserve">, </w:t>
            </w:r>
            <w:hyperlink r:id="rId23">
              <w:r>
                <w:rPr>
                  <w:rStyle w:val="InternetLink"/>
                  <w:rFonts w:ascii="Times New Roman" w:hAnsi="Times New Roman"/>
                  <w:sz w:val="20"/>
                </w:rPr>
                <w:t>April  28, 2025</w:t>
              </w:r>
            </w:hyperlink>
            <w:r>
              <w:rPr>
                <w:rFonts w:ascii="Times New Roman" w:hAnsi="Times New Roman"/>
                <w:sz w:val="20"/>
              </w:rPr>
              <w:t xml:space="preserve"> (excluding Item 2.02) and </w:t>
            </w:r>
            <w:hyperlink r:id="rId24">
              <w:r>
                <w:rPr>
                  <w:rStyle w:val="InternetLink"/>
                  <w:rFonts w:ascii="Times New Roman" w:hAnsi="Times New Roman"/>
                  <w:sz w:val="20"/>
                </w:rPr>
                <w:t>June 12,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the Parents Definitive Proxy Statement on </w:t>
            </w:r>
            <w:hyperlink r:id="rId25">
              <w:r>
                <w:rPr>
                  <w:rStyle w:val="InternetLink"/>
                  <w:rFonts w:ascii="Times New Roman" w:hAnsi="Times New Roman"/>
                  <w:sz w:val="20"/>
                </w:rPr>
                <w:t>Schedule 14A</w:t>
              </w:r>
            </w:hyperlink>
            <w:r>
              <w:rPr>
                <w:rFonts w:ascii="Times New Roman" w:hAnsi="Times New Roman"/>
                <w:sz w:val="20"/>
              </w:rPr>
              <w:t xml:space="preserve"> filed with the SEC on April  29, 2025 that were incorporated by reference into the Parents Annual Report on </w:t>
            </w:r>
            <w:hyperlink r:id="rId26">
              <w:r>
                <w:rPr>
                  <w:rStyle w:val="InternetLink"/>
                  <w:rFonts w:ascii="Times New Roman" w:hAnsi="Times New Roman"/>
                  <w:sz w:val="20"/>
                </w:rPr>
                <w:t xml:space="preserve">Form 10-K </w:t>
              </w:r>
            </w:hyperlink>
            <w:r>
              <w:rPr>
                <w:rFonts w:ascii="Times New Roman" w:hAnsi="Times New Roman"/>
                <w:sz w:val="20"/>
              </w:rPr>
              <w:t xml:space="preserve">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future filings the Parent makes with the SEC under Sections 13(a), 13(c), 14 and 15(d) of the Exchange Act after the date of this prospectus (excluding any current reports on Form 8-K to the extent disclosure is furnished and not filed). Those documents are considered to be a part of this prospectus and any accompanying prospectus supplement, effective as of the date they are filed. Any statement contained in this prospectus, any accompanying prospectus supplement or in a document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Parent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NXP Semiconductors N.V. </w:t>
      </w:r>
    </w:p>
    <w:p>
      <w:pPr>
        <w:pStyle w:val="TextBody"/>
        <w:bidi w:val="0"/>
        <w:spacing w:before="0" w:after="0"/>
        <w:jc w:val="left"/>
        <w:rPr>
          <w:rFonts w:ascii="Times New Roman" w:hAnsi="Times New Roman"/>
          <w:sz w:val="20"/>
        </w:rPr>
      </w:pPr>
      <w:r>
        <w:rPr>
          <w:rFonts w:ascii="Times New Roman" w:hAnsi="Times New Roman"/>
          <w:sz w:val="20"/>
        </w:rPr>
        <w:t xml:space="preserve">High Tech Campus 60 </w:t>
      </w:r>
    </w:p>
    <w:p>
      <w:pPr>
        <w:pStyle w:val="TextBody"/>
        <w:bidi w:val="0"/>
        <w:spacing w:before="0" w:after="0"/>
        <w:jc w:val="left"/>
        <w:rPr>
          <w:rFonts w:ascii="Times New Roman" w:hAnsi="Times New Roman"/>
          <w:sz w:val="20"/>
        </w:rPr>
      </w:pPr>
      <w:r>
        <w:rPr>
          <w:rFonts w:ascii="Times New Roman" w:hAnsi="Times New Roman"/>
          <w:sz w:val="20"/>
        </w:rPr>
        <w:t xml:space="preserve">5656 AG Eindhoven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94185_3"/>
      <w:bookmarkEnd w:id="1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any related free writing prospectus or any document incorporated by reference herein and therein may contain forward-looking statements, which are provided under the safe harbor protection of the Private Securities Litigation Reform Act of 1995. When used in this prospectus, any prospectus supplement, any related free writing prospectus or any document incorporated by reference herein and therein, the words anticipate, believe, estimate, forecast, expect, intend, plan and project and similar expressions, as they relate to us, our management or third parties, identify forward-looking statements. Forward-looking statements include statements regarding our business strategy, financial condition, results of operations, market data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demand and semiconductor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introduce new technologies and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the goods into which our products are incorporated;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trade disputes, potential increase of barriers to international trade, including the imposition of new or increased tariffs, and resulting disruptions to our established supply chains;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actions and regulations, including as a result of executive orders, including restrictions on the export of products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and evolving cybersecurity threats and privacy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estimate demand and match our production capacity accordingly or obtain supplies from third-party producers;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production from third-party outsourcing partners, and any events that might affect their business or our relationship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adequate and timely supply of equipment and materials from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avoid operational problems and product defects and, if such issues were to arise, to correct them quickly;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form strategic partnerships and joint ventures and successfully cooperate with our strategic alliance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win competitive bid selection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products for use in our customers equipment and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hire and retain key management and senior product engineers;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hostilities, including the invasion of Ukraine by Russia and resulting regional instability, sanctions and any other retaliatory measures taken against Russia, and the continued hostilities and armed conflict in the Middle East, which could adversely impact the global supply chain, disrupt our operations or negatively impact the demand for our products in our primary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good relationships with our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integrate acquired businesses in an efficient and effective manner;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sufficient cash, raise sufficient capital or refinance our debt at or before maturity to meet our debt service, research and development and capital investment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tax laws could have an effect on our estimated effective tax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this prospectus contains or incorporates by reference information concerning the semiconductor industry, our end markets and business generally, which is forward-looking in nature and is based on a variety of assumptions regarding the ways in which the semiconductor industry, our end markets and business will develop. We have based these assumptions on information currently available to us, including through the market research and industry reports referred to in this prospectus or any document incorporated by reference herein.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our common stock. Readers are cautioned not to place undue reliance on these forward-looking statements, which speak to results only as of the date the statements were made. Except for any ongoing obligation to disclose material information as required by the United States federal securities laws, we do not have any intention or obligation to publicly update or revise any forward-looking statements made in this prospectus, any prospectus supplement or any related free writing prospectus, whether to reflect any future events or circumstances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94185_4"/>
      <w:bookmarkEnd w:id="19"/>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global semiconductor company and a long-standing supplier in the industry, with over 70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 market applications including: automotive, industrial &amp; Internet of Things, mobile, and communication infrastructure. We engage with leading global original equipment manufacturers and sell products in all major geographic regions. As of December 31, 2024 we had approximately 33,100 employees, with research and development activities and manufacturing facilities in Asia, Europe and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quarter ended June 29, 2025, we generated revenue of $2,926 million and operating income of $687 million. </w:t>
      </w:r>
    </w:p>
    <w:p>
      <w:pPr>
        <w:pStyle w:val="TextBody"/>
        <w:bidi w:val="0"/>
        <w:spacing w:before="240" w:after="0"/>
        <w:jc w:val="left"/>
        <w:rPr>
          <w:rFonts w:ascii="Times New Roman" w:hAnsi="Times New Roman"/>
          <w:sz w:val="20"/>
        </w:rPr>
      </w:pPr>
      <w:r>
        <w:rPr>
          <w:rFonts w:ascii="Times New Roman" w:hAnsi="Times New Roman"/>
          <w:sz w:val="20"/>
        </w:rPr>
        <w:t xml:space="preserve">Our corporate seat is in Eindhoven, the Netherlands. Our executive office is at High Tech Campus 60, 5656 AG Eindhoven, the Netherlands, and our telephone number is +31 40 2729999. Our registered agent in the United States is NXP USA, Inc., 6501 William Cannon Dr. West, Austin, Texas 78735, United States of America, phone number +1 512 933 8214.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94185_5"/>
      <w:bookmarkEnd w:id="20"/>
      <w:r>
        <w:rPr>
          <w:rFonts w:ascii="Times New Roman" w:hAnsi="Times New Roman"/>
          <w:b/>
          <w:sz w:val="20"/>
        </w:rPr>
        <w:t xml:space="preserve">INFORMATION REGARDING THE ISSUERS </w:t>
      </w:r>
    </w:p>
    <w:p>
      <w:pPr>
        <w:pStyle w:val="TextBody"/>
        <w:bidi w:val="0"/>
        <w:spacing w:before="240" w:after="0"/>
        <w:jc w:val="left"/>
        <w:rPr>
          <w:rFonts w:ascii="Times New Roman" w:hAnsi="Times New Roman"/>
          <w:sz w:val="20"/>
        </w:rPr>
      </w:pPr>
      <w:r>
        <w:rPr>
          <w:rFonts w:ascii="Times New Roman" w:hAnsi="Times New Roman"/>
          <w:sz w:val="20"/>
        </w:rPr>
        <w:t>NXP B.V. was incorporated in the Netherlands as a Dutch private company with limited liability (</w:t>
      </w:r>
      <w:r>
        <w:rPr>
          <w:rFonts w:ascii="Times New Roman" w:hAnsi="Times New Roman"/>
          <w:i/>
          <w:sz w:val="20"/>
        </w:rPr>
        <w:t>besloten vennootschap met beperkte aansprakelijkheid</w:t>
      </w:r>
      <w:r>
        <w:rPr>
          <w:rFonts w:ascii="Times New Roman" w:hAnsi="Times New Roman"/>
          <w:sz w:val="20"/>
        </w:rPr>
        <w:t>) on December 21, 1990 as a wholly owned subsidiary of Koninklijke Philips N.V. (</w:t>
      </w:r>
      <w:r>
        <w:rPr>
          <w:rFonts w:ascii="Times New Roman" w:hAnsi="Times New Roman"/>
          <w:b/>
          <w:sz w:val="20"/>
        </w:rPr>
        <w:t>Philips</w:t>
      </w:r>
      <w:r>
        <w:rPr>
          <w:rFonts w:ascii="Times New Roman" w:hAnsi="Times New Roman"/>
          <w:sz w:val="20"/>
        </w:rPr>
        <w:t>). On September 29, 2006, in connection 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hAnsi="Times New Roman"/>
          <w:b/>
          <w:sz w:val="20"/>
        </w:rPr>
        <w:t>Formation</w:t>
      </w:r>
      <w:r>
        <w:rPr>
          <w:rFonts w:ascii="Times New Roman" w:hAnsi="Times New Roman"/>
          <w:sz w:val="20"/>
        </w:rPr>
        <w:t xml:space="preserve">.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 </w:t>
      </w:r>
    </w:p>
    <w:p>
      <w:pPr>
        <w:pStyle w:val="TextBody"/>
        <w:bidi w:val="0"/>
        <w:spacing w:before="240" w:after="0"/>
        <w:jc w:val="left"/>
        <w:rPr>
          <w:rFonts w:ascii="Times New Roman" w:hAnsi="Times New Roman"/>
          <w:sz w:val="20"/>
        </w:rPr>
      </w:pPr>
      <w:r>
        <w:rPr>
          <w:rFonts w:ascii="Times New Roman" w:hAnsi="Times New Roman"/>
          <w:sz w:val="20"/>
        </w:rPr>
        <w:t xml:space="preserve">NXP Funding LLC is a wholly owned subsidiary of the Company that was formed in Delaware as a limited liability company on September 11, 2006. The address NXP Fundings registered office in Delaware is 251 Little Falls Drive, Wilmington, Delaware 19808 and its telephone number is +1 512 933 8214. </w:t>
      </w:r>
    </w:p>
    <w:p>
      <w:pPr>
        <w:pStyle w:val="TextBody"/>
        <w:bidi w:val="0"/>
        <w:spacing w:before="240" w:after="0"/>
        <w:jc w:val="left"/>
        <w:rPr>
          <w:rFonts w:ascii="Times New Roman" w:hAnsi="Times New Roman"/>
          <w:sz w:val="20"/>
        </w:rPr>
      </w:pPr>
      <w:r>
        <w:rPr>
          <w:rFonts w:ascii="Times New Roman" w:hAnsi="Times New Roman"/>
          <w:sz w:val="20"/>
        </w:rPr>
        <w:t xml:space="preserve">NXP USA, Inc. is a wholly owned, indirect subsidiary of the Company that was incorporated in Delaware as a corporation on December 3, 2003. The address of NXP USAs registered office in Delaware is 251 Little Falls Drive, Wilmington, Delaware 19808 and its telephone number is +1 512 933 8214. </w:t>
      </w:r>
    </w:p>
    <w:p>
      <w:pPr>
        <w:pStyle w:val="TextBody"/>
        <w:bidi w:val="0"/>
        <w:spacing w:before="240" w:after="0"/>
        <w:jc w:val="left"/>
        <w:rPr>
          <w:rFonts w:ascii="Times New Roman" w:hAnsi="Times New Roman"/>
          <w:sz w:val="20"/>
        </w:rPr>
      </w:pPr>
      <w:r>
        <w:rPr>
          <w:rFonts w:ascii="Times New Roman" w:hAnsi="Times New Roman"/>
          <w:sz w:val="20"/>
        </w:rPr>
        <w:t xml:space="preserve">On August 5, 2010, the Parent, the holding company of the Issuers, completed an initial public offering and listed on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 xml:space="preserve">The Parents website is at http://www.nxp.com. The information and other content contained on or accessible through our website are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94185_6"/>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See the risk factors described in the Parents most recent annual report on Form 10-K (together with any material changes thereto contained in subsequently filed quarterly reports on Form 10-Q) and those contained in the Parents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94185_7"/>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any accompanying prospectus supplement, we expect to use the net proceeds from the sale of securities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94185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Issuers may offer debt securities in one or more series, which may be senior debt securities or subordinated debt securities and which may be convertible into another security. </w:t>
      </w:r>
    </w:p>
    <w:p>
      <w:pPr>
        <w:pStyle w:val="TextBody"/>
        <w:bidi w:val="0"/>
        <w:spacing w:before="240" w:after="0"/>
        <w:jc w:val="left"/>
        <w:rPr>
          <w:rFonts w:ascii="Times New Roman" w:hAnsi="Times New Roman"/>
          <w:sz w:val="20"/>
        </w:rPr>
      </w:pPr>
      <w:r>
        <w:rPr>
          <w:rFonts w:ascii="Times New Roman" w:hAnsi="Times New Roman"/>
          <w:sz w:val="20"/>
        </w:rPr>
        <w:t>The following description briefly sets forth certain general terms and provisions of the debt securities that the Issuers may offer and guarantees thereof by the Parent (in its role as guarantor under the Indenture (as defined below), the </w:t>
      </w:r>
      <w:r>
        <w:rPr>
          <w:rFonts w:ascii="Times New Roman" w:hAnsi="Times New Roman"/>
          <w:b/>
          <w:sz w:val="20"/>
        </w:rPr>
        <w:t>Guarantor</w:t>
      </w:r>
      <w:r>
        <w:rPr>
          <w:rFonts w:ascii="Times New Roman" w:hAnsi="Times New Roman"/>
          <w:sz w:val="20"/>
        </w:rPr>
        <w:t>). The particular terms of the debt securities and guarantees thereof offered by any prospectus supplement and the extent, if any, to which the following general terms and provisions may apply to the debt securities, will be described in an accompanying prospectus supplement. Unless otherwise specified in an accompanying prospectus supplement, any debt securities will be issued in one or more series under the indenture dated as of May 16, 2022, as supplemented by the first supplemental indenture dated as of May 16, 2022 (the </w:t>
      </w:r>
      <w:r>
        <w:rPr>
          <w:rFonts w:ascii="Times New Roman" w:hAnsi="Times New Roman"/>
          <w:b/>
          <w:sz w:val="20"/>
        </w:rPr>
        <w:t>Indenture</w:t>
      </w:r>
      <w:r>
        <w:rPr>
          <w:rFonts w:ascii="Times New Roman" w:hAnsi="Times New Roman"/>
          <w:sz w:val="20"/>
        </w:rPr>
        <w:t>), each among the Issuers, the Guarantor and Deutsche Bank Trust Company Americas, as trustee. The Indenture is incorporated by reference as an exhibit to the registration statement of which this prospectus forms a part. The terms of the debt securities will include those set forth in the Indenture and those made a part of the Indenture by the Trust Indenture Act of 1939 (</w:t>
      </w:r>
      <w:r>
        <w:rPr>
          <w:rFonts w:ascii="Times New Roman" w:hAnsi="Times New Roman"/>
          <w:b/>
          <w:sz w:val="20"/>
        </w:rPr>
        <w:t>TIA</w:t>
      </w:r>
      <w:r>
        <w:rPr>
          <w:rFonts w:ascii="Times New Roman" w:hAnsi="Times New Roman"/>
          <w:sz w:val="20"/>
        </w:rPr>
        <w:t xml:space="preserve">). You should read the summary below, any accompanying prospectus supplement and the provisions of the Indenture in their entirety before investing in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debt securities that may be issued under the Indenture is unlimited. The prospectus supplement relating to any series of debt securities that the Issuers may offer will contain the specific terms of the debt securities. These terms may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aggregate principal amount of the debt securities and any limit on the aggregate principal amount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subordination provisions for any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or method for determining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or the method for determining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interest will accrue or the method for determining dates on which interest will accrue and dates on which interest will be payable and whether interest will be payable in cash, additional securities or some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convertible or exchangeable into other securities and any related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or early repayment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denominations;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 principal amount of debt securities payable upon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place(s) where payment of principal and interest may be made, where debt securities may be presented and where notices or demands upon the company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or forms of the debt securities of the series including such legends as may be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whole or in part in the form of one or more global securities and the date as of which the securities are dated if other than the date of original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discount or premium, if any, with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covenants applicable to the particular debt securities being issued;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additions or changes in the defaults and events of default applicable to the particular debt securities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guarantee by the Guarantor (including provisions relating to seniority, subordination and release of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purchase price for, the principal of and any premium and any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period within which, the manner in which and the terms and conditions upon which we or the holders of the debt securities can select the payment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or right to redeem, purchase or repay debt securities under a sinking fund, amortization or analogous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 or conditions on the transferability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granting special rights to holders of the debt securities upon occurrence of specified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changes relating to compensation or reimbursement of the trustee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relating to the modification of the Indenture both with and without the consent of holders of debt securities issued under the Indenture and the execution of supplemental indentures for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terms shall not be inconsistent with the provisions of the TIA, but may modify, amend, supplement or delete any of the terms of the Indenture with respect to such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Issuers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United States federal income tax consequences and special considerations, if any, applicable to any such series will be described in an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The Guarantor will fully and unconditionally guarantee all obligations of the Issuers under the Indenture and the related debt securities. Unless otherwise provided in a prospectus supplement, each guarantee will be a senior unsecured obligation of the Guarantor.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shall be construed in accordance with and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94185_9"/>
      <w:bookmarkEnd w:id="24"/>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The Company, NXP B.V., is a private company with limited liability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 </w:t>
      </w:r>
    </w:p>
    <w:p>
      <w:pPr>
        <w:pStyle w:val="TextBody"/>
        <w:bidi w:val="0"/>
        <w:spacing w:before="240" w:after="0"/>
        <w:jc w:val="left"/>
        <w:rPr>
          <w:rFonts w:ascii="Times New Roman" w:hAnsi="Times New Roman"/>
          <w:sz w:val="20"/>
        </w:rPr>
      </w:pPr>
      <w:r>
        <w:rPr>
          <w:rFonts w:ascii="Times New Roman" w:hAnsi="Times New Roman"/>
          <w:sz w:val="20"/>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w:t>
      </w:r>
      <w:r>
        <w:rPr>
          <w:rFonts w:ascii="Times New Roman" w:hAnsi="Times New Roman"/>
          <w:i/>
          <w:sz w:val="20"/>
        </w:rPr>
        <w:t>behoorlijke rechtspleging</w:t>
      </w:r>
      <w:r>
        <w:rPr>
          <w:rFonts w:ascii="Times New Roman" w:hAnsi="Times New Roman"/>
          <w:sz w:val="20"/>
        </w:rPr>
        <w:t>); (iii) recognition and/or enforcement of that judgment does not conflict with the public policy (</w:t>
      </w:r>
      <w:r>
        <w:rPr>
          <w:rFonts w:ascii="Times New Roman" w:hAnsi="Times New Roman"/>
          <w:i/>
          <w:sz w:val="20"/>
        </w:rPr>
        <w:t>openbare orde</w:t>
      </w:r>
      <w:r>
        <w:rPr>
          <w:rFonts w:ascii="Times New Roman" w:hAnsi="Times New Roman"/>
          <w:sz w:val="20"/>
        </w:rPr>
        <w:t xml:space="preserve">)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 Enforcement of any foreign judgment in the Netherlands will be subject to Dutch civil procedure rules. Judgments rendered in a foreign currency can be enforced against assets in the Netherlands in euro only (at the applicable rate of exchange). Furthermore, a Dutch court may reduce the amount of damages granted by a U.S. court and recognize damages only to the extent that they compensate actual losses or damage.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94185_10"/>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Issuers may sell the securities being offered hereby in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underwriters for resale to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dealers to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methods as described in a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a prospectus supplement. The applicable prospectus supplement will state the terms of the offering of the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such securities and the proceeds to be received by the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or agency fees and other items constituting underwriters or agents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initial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Issuers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agents may be entitled under agreements entered into with the Issuers to indemnification by the Issuers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Issuers and its affiliates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94185_11"/>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any accompanying prospectus supplement, certain legal matters will be passed upon for us by Skadden, Arps, Slate, Meagher &amp; Flom LLP, as to matters of U.S. federal and New York state law, and by De Brauw Blackstone Westbroek N.V., as to matters of Dutch law. Any underwriters will be advised about legal matters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94185_12"/>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NXP Semiconductors N.V. appearing in NXP Semiconductors N.V.s Annual Report (Form 10-K) for the years ended December 31, 2024 and 2023, and for each of the three years in the period ended December 31, 2024, and the effectiveness of NXP Semiconductors N.V.s internal control over financial reporting as of December 31, 2024, have been audited by EY Accountants B.V.,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$1,500,000,000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607820" cy="5575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1607820" cy="557530"/>
                    </a:xfrm>
                    <a:prstGeom prst="rect">
                      <a:avLst/>
                    </a:prstGeom>
                  </pic:spPr>
                </pic:pic>
              </a:graphicData>
            </a:graphic>
          </wp:inline>
        </w:drawing>
      </w:r>
      <w:r>
        <w:rPr/>
        <w:t xml:space="preserve"> </w:t>
      </w:r>
    </w:p>
    <w:p>
      <w:pPr>
        <w:pStyle w:val="TextBody"/>
        <w:bidi w:val="0"/>
        <w:spacing w:before="720" w:after="0"/>
        <w:jc w:val="center"/>
        <w:rPr>
          <w:rFonts w:ascii="Times New Roman" w:hAnsi="Times New Roman"/>
          <w:b/>
          <w:sz w:val="24"/>
        </w:rPr>
      </w:pPr>
      <w:r>
        <w:rPr>
          <w:rFonts w:ascii="Times New Roman" w:hAnsi="Times New Roman"/>
          <w:b/>
          <w:sz w:val="24"/>
        </w:rPr>
        <w:t xml:space="preserve">$500,000,000 4.300% Senior Notes due 2028 </w:t>
      </w:r>
    </w:p>
    <w:p>
      <w:pPr>
        <w:pStyle w:val="TextBody"/>
        <w:bidi w:val="0"/>
        <w:spacing w:before="0" w:after="0"/>
        <w:jc w:val="center"/>
        <w:rPr>
          <w:rFonts w:ascii="Times New Roman" w:hAnsi="Times New Roman"/>
          <w:b/>
          <w:sz w:val="24"/>
        </w:rPr>
      </w:pPr>
      <w:r>
        <w:rPr>
          <w:rFonts w:ascii="Times New Roman" w:hAnsi="Times New Roman"/>
          <w:b/>
          <w:sz w:val="24"/>
        </w:rPr>
        <w:t xml:space="preserve">$300,000,000 4.850% Senior Notes due 2032 </w:t>
      </w:r>
    </w:p>
    <w:p>
      <w:pPr>
        <w:pStyle w:val="TextBody"/>
        <w:bidi w:val="0"/>
        <w:spacing w:before="0" w:after="0"/>
        <w:jc w:val="center"/>
        <w:rPr>
          <w:rFonts w:ascii="Times New Roman" w:hAnsi="Times New Roman"/>
          <w:b/>
          <w:sz w:val="24"/>
        </w:rPr>
      </w:pPr>
      <w:r>
        <w:rPr>
          <w:rFonts w:ascii="Times New Roman" w:hAnsi="Times New Roman"/>
          <w:b/>
          <w:sz w:val="24"/>
        </w:rPr>
        <w:t xml:space="preserve">$700,000,000 5.250% Senior Notes due 2035 </w:t>
      </w:r>
    </w:p>
    <w:p>
      <w:pPr>
        <w:pStyle w:val="TextBody"/>
        <w:bidi w:val="0"/>
        <w:spacing w:before="72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72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240" w:after="0"/>
        <w:jc w:val="center"/>
        <w:rPr>
          <w:rFonts w:ascii="Times New Roman" w:hAnsi="Times New Roman"/>
          <w:b/>
          <w:sz w:val="24"/>
        </w:rPr>
      </w:pPr>
      <w:r>
        <w:rPr>
          <w:rFonts w:ascii="Times New Roman" w:hAnsi="Times New Roman"/>
          <w:b/>
          <w:sz w:val="24"/>
        </w:rPr>
        <w:t xml:space="preserve">Barclays </w:t>
      </w:r>
    </w:p>
    <w:p>
      <w:pPr>
        <w:pStyle w:val="TextBody"/>
        <w:bidi w:val="0"/>
        <w:spacing w:before="240" w:after="0"/>
        <w:jc w:val="center"/>
        <w:rPr>
          <w:rFonts w:ascii="Times New Roman" w:hAnsi="Times New Roman"/>
          <w:b/>
          <w:sz w:val="24"/>
        </w:rPr>
      </w:pPr>
      <w:r>
        <w:rPr>
          <w:rFonts w:ascii="Times New Roman" w:hAnsi="Times New Roman"/>
          <w:b/>
          <w:sz w:val="24"/>
        </w:rPr>
        <w:t xml:space="preserve">Goldman Sachs &amp; Co. LLC </w:t>
      </w:r>
    </w:p>
    <w:p>
      <w:pPr>
        <w:pStyle w:val="TextBody"/>
        <w:bidi w:val="0"/>
        <w:spacing w:before="240" w:after="0"/>
        <w:jc w:val="center"/>
        <w:rPr>
          <w:rFonts w:ascii="Times New Roman" w:hAnsi="Times New Roman"/>
          <w:b/>
          <w:sz w:val="24"/>
        </w:rPr>
      </w:pPr>
      <w:r>
        <w:rPr>
          <w:rFonts w:ascii="Times New Roman" w:hAnsi="Times New Roman"/>
          <w:b/>
          <w:sz w:val="24"/>
        </w:rPr>
        <w:t xml:space="preserve">J.P. Morgan </w:t>
      </w:r>
    </w:p>
    <w:p>
      <w:pPr>
        <w:pStyle w:val="TextBody"/>
        <w:bidi w:val="0"/>
        <w:spacing w:before="240" w:after="0"/>
        <w:jc w:val="center"/>
        <w:rPr>
          <w:rFonts w:ascii="Times New Roman" w:hAnsi="Times New Roman"/>
          <w:b/>
          <w:sz w:val="24"/>
        </w:rPr>
      </w:pPr>
      <w:r>
        <w:rPr>
          <w:rFonts w:ascii="Times New Roman" w:hAnsi="Times New Roman"/>
          <w:b/>
          <w:sz w:val="24"/>
        </w:rPr>
        <w:t xml:space="preserve">PNC Capital Markets LLC </w:t>
      </w:r>
    </w:p>
    <w:p>
      <w:pPr>
        <w:pStyle w:val="TextBody"/>
        <w:bidi w:val="0"/>
        <w:spacing w:before="240" w:after="0"/>
        <w:jc w:val="center"/>
        <w:rPr>
          <w:rFonts w:ascii="Times New Roman" w:hAnsi="Times New Roman"/>
          <w:b/>
          <w:sz w:val="24"/>
        </w:rPr>
      </w:pPr>
      <w:r>
        <w:rPr>
          <w:rFonts w:ascii="Times New Roman" w:hAnsi="Times New Roman"/>
          <w:b/>
          <w:sz w:val="24"/>
        </w:rPr>
        <w:t xml:space="preserve">UBS Investment Bank </w:t>
      </w:r>
    </w:p>
    <w:p>
      <w:pPr>
        <w:pStyle w:val="TextBody"/>
        <w:bidi w:val="0"/>
        <w:spacing w:before="240" w:after="0"/>
        <w:jc w:val="center"/>
        <w:rPr>
          <w:rFonts w:ascii="Times New Roman" w:hAnsi="Times New Roman"/>
          <w:b/>
          <w:sz w:val="24"/>
        </w:rPr>
      </w:pPr>
      <w:r>
        <w:rPr>
          <w:rFonts w:ascii="Times New Roman" w:hAnsi="Times New Roman"/>
          <w:b/>
          <w:sz w:val="24"/>
        </w:rPr>
        <w:t xml:space="preserve">BofA Securities </w:t>
      </w:r>
    </w:p>
    <w:p>
      <w:pPr>
        <w:pStyle w:val="TextBody"/>
        <w:bidi w:val="0"/>
        <w:spacing w:before="240" w:after="0"/>
        <w:jc w:val="center"/>
        <w:rPr>
          <w:rFonts w:ascii="Times New Roman" w:hAnsi="Times New Roman"/>
          <w:b/>
          <w:sz w:val="24"/>
        </w:rPr>
      </w:pPr>
      <w:r>
        <w:rPr>
          <w:rFonts w:ascii="Times New Roman" w:hAnsi="Times New Roman"/>
          <w:b/>
          <w:sz w:val="24"/>
        </w:rPr>
        <w:t xml:space="preserve">Citigroup </w:t>
      </w:r>
    </w:p>
    <w:p>
      <w:pPr>
        <w:pStyle w:val="TextBody"/>
        <w:bidi w:val="0"/>
        <w:spacing w:before="240" w:after="0"/>
        <w:jc w:val="center"/>
        <w:rPr>
          <w:rFonts w:ascii="Times New Roman" w:hAnsi="Times New Roman"/>
          <w:b/>
          <w:sz w:val="24"/>
        </w:rPr>
      </w:pPr>
      <w:r>
        <w:rPr>
          <w:rFonts w:ascii="Times New Roman" w:hAnsi="Times New Roman"/>
          <w:b/>
          <w:sz w:val="24"/>
        </w:rPr>
        <w:t xml:space="preserve">DBS Bank Ltd. </w:t>
      </w:r>
    </w:p>
    <w:p>
      <w:pPr>
        <w:pStyle w:val="TextBody"/>
        <w:bidi w:val="0"/>
        <w:spacing w:before="240" w:after="0"/>
        <w:jc w:val="center"/>
        <w:rPr>
          <w:rFonts w:ascii="Times New Roman" w:hAnsi="Times New Roman"/>
          <w:b/>
          <w:sz w:val="24"/>
        </w:rPr>
      </w:pPr>
      <w:r>
        <w:rPr>
          <w:rFonts w:ascii="Times New Roman" w:hAnsi="Times New Roman"/>
          <w:b/>
          <w:sz w:val="24"/>
        </w:rPr>
        <w:t xml:space="preserve">Deutsche Bank Securities </w:t>
      </w:r>
    </w:p>
    <w:p>
      <w:pPr>
        <w:pStyle w:val="TextBody"/>
        <w:bidi w:val="0"/>
        <w:spacing w:before="240" w:after="0"/>
        <w:jc w:val="center"/>
        <w:rPr>
          <w:rFonts w:ascii="Times New Roman" w:hAnsi="Times New Roman"/>
          <w:b/>
          <w:sz w:val="24"/>
        </w:rPr>
      </w:pPr>
      <w:r>
        <w:rPr>
          <w:rFonts w:ascii="Times New Roman" w:hAnsi="Times New Roman"/>
          <w:b/>
          <w:sz w:val="24"/>
        </w:rPr>
        <w:t xml:space="preserve">Morgan Stanley </w:t>
      </w:r>
    </w:p>
    <w:p>
      <w:pPr>
        <w:pStyle w:val="TextBody"/>
        <w:bidi w:val="0"/>
        <w:spacing w:before="240" w:after="0"/>
        <w:jc w:val="center"/>
        <w:rPr>
          <w:rFonts w:ascii="Times New Roman" w:hAnsi="Times New Roman"/>
          <w:b/>
          <w:sz w:val="24"/>
        </w:rPr>
      </w:pPr>
      <w:r>
        <w:rPr>
          <w:rFonts w:ascii="Times New Roman" w:hAnsi="Times New Roman"/>
          <w:b/>
          <w:sz w:val="24"/>
        </w:rPr>
        <w:t xml:space="preserve">SMBC Nikko </w:t>
      </w:r>
    </w:p>
    <w:p>
      <w:pPr>
        <w:pStyle w:val="TextBody"/>
        <w:bidi w:val="0"/>
        <w:spacing w:before="240" w:after="0"/>
        <w:jc w:val="center"/>
        <w:rPr>
          <w:rFonts w:ascii="Times New Roman" w:hAnsi="Times New Roman"/>
          <w:b/>
          <w:sz w:val="24"/>
        </w:rPr>
      </w:pPr>
      <w:r>
        <w:rPr>
          <w:rFonts w:ascii="Times New Roman" w:hAnsi="Times New Roman"/>
          <w:b/>
          <w:sz w:val="24"/>
        </w:rPr>
        <w:t xml:space="preserve">Rabo Securities </w:t>
      </w:r>
    </w:p>
    <w:p>
      <w:pPr>
        <w:pStyle w:val="TextBody"/>
        <w:bidi w:val="0"/>
        <w:spacing w:before="720" w:after="0"/>
        <w:jc w:val="center"/>
        <w:rPr>
          <w:rFonts w:ascii="Times New Roman" w:hAnsi="Times New Roman"/>
          <w:b/>
          <w:sz w:val="24"/>
        </w:rPr>
      </w:pPr>
      <w:r>
        <w:rPr>
          <w:rFonts w:ascii="Times New Roman" w:hAnsi="Times New Roman"/>
          <w:b/>
          <w:sz w:val="24"/>
        </w:rPr>
        <w:t xml:space="preserve">August 12, 2025 </w:t>
      </w:r>
    </w:p>
    <w:p>
      <w:pPr>
        <w:pStyle w:val="Normal"/>
        <w:bidi w:val="0"/>
        <w:spacing w:before="0" w:after="0"/>
        <w:jc w:val="left"/>
        <w:rPr>
          <w:sz w:val="4"/>
          <w:szCs w:val="4"/>
        </w:rPr>
      </w:pPr>
      <w:r>
        <w:rPr>
          <w:sz w:val="4"/>
          <w:szCs w:val="4"/>
        </w:rPr>
      </w:r>
      <w:bookmarkStart w:id="28" w:name="d94185dexfilingfees.htm"/>
      <w:bookmarkStart w:id="29" w:name="ksd94185dexfilingfees"/>
      <w:bookmarkStart w:id="30" w:name="d94185dexfilingfees.htm"/>
      <w:bookmarkStart w:id="31" w:name="ksd94185dexfilingfees"/>
      <w:bookmarkEnd w:id="30"/>
      <w:bookmarkEnd w:id="31"/>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NXP Semiconductors N.V.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49" w:type="dxa"/>
        <w:jc w:val="left"/>
        <w:tblInd w:w="0" w:type="dxa"/>
        <w:tblLayout w:type="fixed"/>
        <w:tblCellMar>
          <w:top w:w="28" w:type="dxa"/>
          <w:left w:w="28" w:type="dxa"/>
          <w:bottom w:w="28" w:type="dxa"/>
          <w:right w:w="28" w:type="dxa"/>
        </w:tblCellMar>
      </w:tblPr>
      <w:tblGrid>
        <w:gridCol w:w="1126"/>
        <w:gridCol w:w="226"/>
        <w:gridCol w:w="946"/>
        <w:gridCol w:w="1171"/>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4.300% Senior Notes due 2028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$ 499,930,000.00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$ 76,539.28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4.850%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300,000,000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$ 299,400,000.00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$ 45,838.14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5.250% Senior Notes due 2035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700,000,000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$ 698,544,000.00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$ 106,947.09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Debt Securities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2" w:name="MaxAggtOfferingPrice"/>
            <w:bookmarkEnd w:id="32"/>
            <w:r>
              <w:rPr/>
              <w:t xml:space="preserve">$ 1,497,874,000.00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$ 229,324.51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NetFeeAmt"/>
            <w:bookmarkEnd w:id="36"/>
            <w:r>
              <w:rPr/>
              <w:t xml:space="preserve">$ 229,324.51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3"/>
        <w:gridCol w:w="1294"/>
        <w:gridCol w:w="8698"/>
      </w:tblGrid>
      <w:tr>
        <w:trPr/>
        <w:tc>
          <w:tcPr>
            <w:tcW w:w="21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2"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the registrants initially deferred payment of all of the registration fees for the Registration Statement on Form S-3 (Registration No. 333-289512), filed with the Securities and Exchange Commission on August 12, 2025. </w:t>
            </w:r>
          </w:p>
        </w:tc>
      </w:tr>
      <w:tr>
        <w:trPr/>
        <w:tc>
          <w:tcPr>
            <w:tcW w:w="1507" w:type="dxa"/>
            <w:gridSpan w:val="2"/>
            <w:tcBorders/>
            <w:vAlign w:val="center"/>
          </w:tcPr>
          <w:p>
            <w:pPr>
              <w:pStyle w:val="HorizontalLine"/>
              <w:pBdr>
                <w:bottom w:val="double" w:sz="2" w:space="0" w:color="808080"/>
              </w:pBdr>
              <w:bidi w:val="0"/>
              <w:spacing w:before="0" w:after="283"/>
              <w:jc w:val="left"/>
              <w:rPr/>
            </w:pPr>
            <w:r>
              <w:rPr/>
            </w:r>
          </w:p>
        </w:tc>
        <w:tc>
          <w:tcPr>
            <w:tcW w:w="8698" w:type="dxa"/>
            <w:tcBorders/>
          </w:tcPr>
          <w:p>
            <w:pPr>
              <w:pStyle w:val="TableContents"/>
              <w:bidi w:val="0"/>
              <w:spacing w:before="0" w:after="283"/>
              <w:jc w:val="left"/>
              <w:rPr>
                <w:sz w:val="4"/>
                <w:szCs w:val="4"/>
              </w:rPr>
            </w:pPr>
            <w:r>
              <w:rPr>
                <w:sz w:val="4"/>
                <w:szCs w:val="4"/>
              </w:rPr>
            </w:r>
          </w:p>
        </w:tc>
      </w:tr>
      <w:tr>
        <w:trPr/>
        <w:tc>
          <w:tcPr>
            <w:tcW w:w="21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2" w:type="dxa"/>
            <w:gridSpan w:val="2"/>
            <w:tcBorders/>
            <w:vAlign w:val="center"/>
          </w:tcPr>
          <w:p>
            <w:pPr>
              <w:pStyle w:val="TableContents"/>
              <w:bidi w:val="0"/>
              <w:spacing w:before="0" w:after="283"/>
              <w:jc w:val="left"/>
              <w:rPr/>
            </w:pPr>
            <w:r>
              <w:rPr/>
              <w:t xml:space="preserve">See offering note (1). </w:t>
            </w:r>
          </w:p>
        </w:tc>
      </w:tr>
      <w:tr>
        <w:trPr/>
        <w:tc>
          <w:tcPr>
            <w:tcW w:w="1507" w:type="dxa"/>
            <w:gridSpan w:val="2"/>
            <w:tcBorders/>
            <w:vAlign w:val="center"/>
          </w:tcPr>
          <w:p>
            <w:pPr>
              <w:pStyle w:val="HorizontalLine"/>
              <w:pBdr>
                <w:bottom w:val="double" w:sz="2" w:space="0" w:color="808080"/>
              </w:pBdr>
              <w:bidi w:val="0"/>
              <w:spacing w:before="0" w:after="283"/>
              <w:jc w:val="left"/>
              <w:rPr/>
            </w:pPr>
            <w:r>
              <w:rPr/>
            </w:r>
          </w:p>
        </w:tc>
        <w:tc>
          <w:tcPr>
            <w:tcW w:w="8698" w:type="dxa"/>
            <w:tcBorders/>
          </w:tcPr>
          <w:p>
            <w:pPr>
              <w:pStyle w:val="TableContents"/>
              <w:bidi w:val="0"/>
              <w:spacing w:before="0" w:after="283"/>
              <w:jc w:val="left"/>
              <w:rPr>
                <w:sz w:val="4"/>
                <w:szCs w:val="4"/>
              </w:rPr>
            </w:pPr>
            <w:r>
              <w:rPr>
                <w:sz w:val="4"/>
                <w:szCs w:val="4"/>
              </w:rPr>
            </w:r>
          </w:p>
        </w:tc>
      </w:tr>
      <w:tr>
        <w:trPr/>
        <w:tc>
          <w:tcPr>
            <w:tcW w:w="213"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2" w:type="dxa"/>
            <w:gridSpan w:val="2"/>
            <w:tcBorders/>
            <w:vAlign w:val="center"/>
          </w:tcPr>
          <w:p>
            <w:pPr>
              <w:pStyle w:val="TableContents"/>
              <w:bidi w:val="0"/>
              <w:spacing w:before="0" w:after="283"/>
              <w:jc w:val="left"/>
              <w:rPr/>
            </w:pPr>
            <w:r>
              <w:rPr/>
              <w:t xml:space="preserve">See offering note (1). </w:t>
            </w:r>
          </w:p>
        </w:tc>
      </w:tr>
      <w:tr>
        <w:trPr/>
        <w:tc>
          <w:tcPr>
            <w:tcW w:w="1507" w:type="dxa"/>
            <w:gridSpan w:val="2"/>
            <w:tcBorders/>
            <w:vAlign w:val="center"/>
          </w:tcPr>
          <w:p>
            <w:pPr>
              <w:pStyle w:val="HorizontalLine"/>
              <w:pBdr>
                <w:bottom w:val="double" w:sz="2" w:space="0" w:color="808080"/>
              </w:pBdr>
              <w:bidi w:val="0"/>
              <w:spacing w:before="0" w:after="283"/>
              <w:jc w:val="left"/>
              <w:rPr/>
            </w:pPr>
            <w:r>
              <w:rPr/>
            </w:r>
          </w:p>
        </w:tc>
        <w:tc>
          <w:tcPr>
            <w:tcW w:w="8698" w:type="dxa"/>
            <w:tcBorders/>
          </w:tcPr>
          <w:p>
            <w:pPr>
              <w:pStyle w:val="TableContents"/>
              <w:bidi w:val="0"/>
              <w:spacing w:before="0" w:after="283"/>
              <w:jc w:val="left"/>
              <w:rPr>
                <w:sz w:val="4"/>
                <w:szCs w:val="4"/>
              </w:rPr>
            </w:pPr>
            <w:r>
              <w:rPr>
                <w:sz w:val="4"/>
                <w:szCs w:val="4"/>
              </w:rPr>
            </w:r>
          </w:p>
        </w:tc>
      </w:tr>
      <w:tr>
        <w:trPr/>
        <w:tc>
          <w:tcPr>
            <w:tcW w:w="213"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2" w:type="dxa"/>
            <w:gridSpan w:val="2"/>
            <w:tcBorders/>
            <w:vAlign w:val="center"/>
          </w:tcPr>
          <w:p>
            <w:pPr>
              <w:pStyle w:val="TableContents"/>
              <w:bidi w:val="0"/>
              <w:spacing w:before="0" w:after="283"/>
              <w:jc w:val="left"/>
              <w:rPr/>
            </w:pPr>
            <w:r>
              <w:rPr/>
              <w:t xml:space="preserve">Pursuant to Rule 457(n) of the Securities Act, no separate registration fee is payable with respect to any such guarantees. The prospectus supplement to which this Exhibit is attached is a final prospectus for the related offering. </w:t>
            </w:r>
          </w:p>
        </w:tc>
      </w:tr>
      <w:tr>
        <w:trPr/>
        <w:tc>
          <w:tcPr>
            <w:tcW w:w="1507" w:type="dxa"/>
            <w:gridSpan w:val="2"/>
            <w:tcBorders/>
            <w:vAlign w:val="center"/>
          </w:tcPr>
          <w:p>
            <w:pPr>
              <w:pStyle w:val="HorizontalLine"/>
              <w:pBdr>
                <w:bottom w:val="double" w:sz="2" w:space="0" w:color="808080"/>
              </w:pBdr>
              <w:bidi w:val="0"/>
              <w:spacing w:before="0" w:after="283"/>
              <w:jc w:val="left"/>
              <w:rPr/>
            </w:pPr>
            <w:r>
              <w:rPr/>
            </w:r>
          </w:p>
        </w:tc>
        <w:tc>
          <w:tcPr>
            <w:tcW w:w="869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$1,497,874,000.00.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13447/000141344725000019/nxpi-20241231.htm" TargetMode="External"/><Relationship Id="rId4" Type="http://schemas.openxmlformats.org/officeDocument/2006/relationships/hyperlink" Target="http://www.sec.gov/Archives/edgar/data/../../../ix?doc=/Archives/edgar/data/1413447/000141344725000031/nxpi-20250330.htm" TargetMode="External"/><Relationship Id="rId5" Type="http://schemas.openxmlformats.org/officeDocument/2006/relationships/hyperlink" Target="http://www.sec.gov/Archives/edgar/data/../../../ix?doc=/Archives/edgar/data/1413447/000141344725000106/nxpi-20250629.htm" TargetMode="External"/><Relationship Id="rId6" Type="http://schemas.openxmlformats.org/officeDocument/2006/relationships/hyperlink" Target="http://www.sec.gov/Archives/edgar/data/../../../ix?doc=/Archives/edgar/data/1413447/000141344725000005/nxpi-20250107.htm" TargetMode="External"/><Relationship Id="rId7" Type="http://schemas.openxmlformats.org/officeDocument/2006/relationships/hyperlink" Target="http://www.sec.gov/Archives/edgar/data/../../../ix?doc=/Archives/edgar/data/1413447/000119312525005299/d896442d8k.htm" TargetMode="External"/><Relationship Id="rId8" Type="http://schemas.openxmlformats.org/officeDocument/2006/relationships/hyperlink" Target="http://www.sec.gov/Archives/edgar/data/../../../ix?doc=/Archives/edgar/data/1413447/000141344725000015/nxpi-20250210.htm" TargetMode="External"/><Relationship Id="rId9" Type="http://schemas.openxmlformats.org/officeDocument/2006/relationships/hyperlink" Target="http://www.sec.gov/Archives/edgar/data/../../../ix?doc=/Archives/edgar/data/1413447/000141344725000021/nxpi-20250306.htm" TargetMode="External"/><Relationship Id="rId10" Type="http://schemas.openxmlformats.org/officeDocument/2006/relationships/hyperlink" Target="http://www.sec.gov/Archives/edgar/data/../../../ix?doc=/Archives/edgar/data/1413447/000141344725000027/nxpi-20250428.htm" TargetMode="External"/><Relationship Id="rId11" Type="http://schemas.openxmlformats.org/officeDocument/2006/relationships/hyperlink" Target="http://www.sec.gov/Archives/edgar/data/../../../ix?doc=/Archives/edgar/data/1413447/000141344725000070/nxpi-20250611.htm" TargetMode="External"/><Relationship Id="rId12" Type="http://schemas.openxmlformats.org/officeDocument/2006/relationships/hyperlink" Target="http://www.sec.gov/Archives/edgar/data/../../../ix?doc=/Archives/edgar/data/1413447/000141344725000035/nxpi-20250429.htm" TargetMode="External"/><Relationship Id="rId13" Type="http://schemas.openxmlformats.org/officeDocument/2006/relationships/hyperlink" Target="http://www.sec.gov/Archives/edgar/data/../../../ix?doc=/Archives/edgar/data/1413447/000141344725000019/nxpi-20241231.htm" TargetMode="External"/><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hyperlink" Target="http://www.sec.gov/Archives/edgar/data/../../../ix?doc=/Archives/edgar/data/1413447/000141344725000019/nxpi-20241231.htm" TargetMode="External"/><Relationship Id="rId17" Type="http://schemas.openxmlformats.org/officeDocument/2006/relationships/hyperlink" Target="http://www.sec.gov/Archives/edgar/data/../../../ix?doc=/Archives/edgar/data/1413447/000141344725000031/nxpi-20250330.htm" TargetMode="External"/><Relationship Id="rId18" Type="http://schemas.openxmlformats.org/officeDocument/2006/relationships/hyperlink" Target="http://www.sec.gov/Archives/edgar/data/../../../ix?doc=/Archives/edgar/data/1413447/000141344725000106/nxpi-20250629.htm" TargetMode="External"/><Relationship Id="rId19" Type="http://schemas.openxmlformats.org/officeDocument/2006/relationships/hyperlink" Target="http://www.sec.gov/Archives/edgar/data/../../../ix?doc=/Archives/edgar/data/1413447/000141344725000005/nxpi-20250107.htm" TargetMode="External"/><Relationship Id="rId20" Type="http://schemas.openxmlformats.org/officeDocument/2006/relationships/hyperlink" Target="http://www.sec.gov/Archives/edgar/data/../../../ix?doc=/Archives/edgar/data/1413447/000119312525005299/d896442d8k.htm" TargetMode="External"/><Relationship Id="rId21" Type="http://schemas.openxmlformats.org/officeDocument/2006/relationships/hyperlink" Target="http://www.sec.gov/Archives/edgar/data/../../../ix?doc=/Archives/edgar/data/1413447/000141344725000015/nxpi-20250210.htm" TargetMode="External"/><Relationship Id="rId22" Type="http://schemas.openxmlformats.org/officeDocument/2006/relationships/hyperlink" Target="http://www.sec.gov/Archives/edgar/data/../../../ix?doc=/Archives/edgar/data/1413447/000141344725000021/nxpi-20250306.htm" TargetMode="External"/><Relationship Id="rId23" Type="http://schemas.openxmlformats.org/officeDocument/2006/relationships/hyperlink" Target="http://www.sec.gov/Archives/edgar/data/../../../ix?doc=/Archives/edgar/data/1413447/000141344725000027/nxpi-20250428.htm" TargetMode="External"/><Relationship Id="rId24" Type="http://schemas.openxmlformats.org/officeDocument/2006/relationships/hyperlink" Target="http://www.sec.gov/Archives/edgar/data/../../../ix?doc=/Archives/edgar/data/1413447/000141344725000070/nxpi-20250611.htm" TargetMode="External"/><Relationship Id="rId25" Type="http://schemas.openxmlformats.org/officeDocument/2006/relationships/hyperlink" Target="http://www.sec.gov/Archives/edgar/data/../../../ix?doc=/Archives/edgar/data/1413447/000141344725000035/nxpi-20250429.htm" TargetMode="External"/><Relationship Id="rId26" Type="http://schemas.openxmlformats.org/officeDocument/2006/relationships/hyperlink" Target="http://www.sec.gov/Archives/edgar/data/../../../ix?doc=/Archives/edgar/data/1413447/000141344725000019/nxpi-20241231.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118</Pages>
  <Words>56976</Words>
  <Characters>289518</Characters>
  <CharactersWithSpaces>345973</CharactersWithSpaces>
  <Paragraphs>3133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