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6088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608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76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 w:line="23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Betz William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NXP Semiconductors N.V.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NXPI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NXP SEMICONDUCTORS N.V.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HIGH TECH CAMPUS 60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EINDHOVEN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5656AG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NETHERLANDS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(Country)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620" w:type="dxa"/>
            <w:vAlign w:val="bottom"/>
            <w:gridSpan w:val="7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1,737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3,256.8396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253.5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2,833.8396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1,737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5,364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-2011045</wp:posOffset>
            </wp:positionV>
            <wp:extent cx="29210" cy="20167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6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conditional right to receive one share of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vest in three equal annual installments on the anniversary of the 10/28/2025 grant date (subject to the terms of the reporting persons award agreement).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vest in three equal annual installments on the anniversary of the 10/28/2026 grant date (subject to the terms of the reporting persons award agreement).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Betz by Timothy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-9525</wp:posOffset>
            </wp:positionV>
            <wp:extent cx="12115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Shelhamer under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10/30/2026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-16510</wp:posOffset>
            </wp:positionV>
            <wp:extent cx="18783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-16510</wp:posOffset>
            </wp:positionV>
            <wp:extent cx="3771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76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8543" TargetMode="External"/><Relationship Id="rId14" Type="http://schemas.openxmlformats.org/officeDocument/2006/relationships/hyperlink" Target="http://www.sec.gov/cgi-bin/browse-edgar?action=getcompany&amp;CIK=00014134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2026-10-30T06:09:43Z</dcterms:created>
  <dcterms:modified xsi:type="dcterms:W3CDTF">2026-10-30T06:09:43Z</dcterms:modified>
</cp:coreProperties>
</file>