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945812dfwp.htm"/>
      <w:bookmarkStart w:id="1" w:name="ksd945812dfwp"/>
      <w:bookmarkEnd w:id="0"/>
      <w:bookmarkEnd w:id="1"/>
      <w:r>
        <w:rPr>
          <w:rFonts w:ascii="Times New Roman" w:hAnsi="Times New Roman"/>
          <w:b/>
          <w:sz w:val="20"/>
        </w:rPr>
        <w:t xml:space="preserve">Filed pursuant to Rule 433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333-289512 </w:t>
      </w:r>
    </w:p>
    <w:p>
      <w:pPr>
        <w:pStyle w:val="TextBody"/>
        <w:bidi w:val="0"/>
        <w:spacing w:before="0" w:after="0"/>
        <w:jc w:val="right"/>
        <w:rPr>
          <w:rFonts w:ascii="Times New Roman" w:hAnsi="Times New Roman"/>
          <w:b/>
          <w:sz w:val="20"/>
        </w:rPr>
      </w:pPr>
      <w:r>
        <w:rPr>
          <w:rFonts w:ascii="Times New Roman" w:hAnsi="Times New Roman"/>
          <w:b/>
          <w:sz w:val="20"/>
        </w:rPr>
        <w:t xml:space="preserve">Issuer Free Writing Prospectus dated August 12, 2025 </w:t>
      </w:r>
    </w:p>
    <w:p>
      <w:pPr>
        <w:pStyle w:val="TextBody"/>
        <w:bidi w:val="0"/>
        <w:spacing w:before="0" w:after="0"/>
        <w:jc w:val="right"/>
        <w:rPr>
          <w:rFonts w:ascii="Times New Roman" w:hAnsi="Times New Roman"/>
          <w:b/>
          <w:sz w:val="20"/>
        </w:rPr>
      </w:pPr>
      <w:r>
        <w:rPr>
          <w:rFonts w:ascii="Times New Roman" w:hAnsi="Times New Roman"/>
          <w:b/>
          <w:sz w:val="20"/>
        </w:rPr>
        <w:t xml:space="preserve">Relating to Preliminary Prospectus Supplement dated August 12, 2025 </w:t>
      </w:r>
    </w:p>
    <w:p>
      <w:pPr>
        <w:pStyle w:val="TextBody"/>
        <w:bidi w:val="0"/>
        <w:spacing w:before="240" w:after="0"/>
        <w:jc w:val="center"/>
        <w:rPr>
          <w:rFonts w:ascii="Times New Roman" w:hAnsi="Times New Roman"/>
          <w:b/>
          <w:sz w:val="20"/>
        </w:rPr>
      </w:pPr>
      <w:r>
        <w:rPr>
          <w:rFonts w:ascii="Times New Roman" w:hAnsi="Times New Roman"/>
          <w:b/>
          <w:sz w:val="20"/>
        </w:rPr>
        <w:t xml:space="preserve">$1,500,000,000 </w:t>
      </w:r>
    </w:p>
    <w:p>
      <w:pPr>
        <w:pStyle w:val="TextBody"/>
        <w:bidi w:val="0"/>
        <w:spacing w:before="240" w:after="0"/>
        <w:jc w:val="center"/>
        <w:rPr>
          <w:rFonts w:ascii="Times New Roman" w:hAnsi="Times New Roman"/>
          <w:b/>
          <w:sz w:val="20"/>
        </w:rPr>
      </w:pPr>
      <w:r>
        <w:rPr>
          <w:rFonts w:ascii="Times New Roman" w:hAnsi="Times New Roman"/>
          <w:b/>
          <w:sz w:val="20"/>
        </w:rPr>
        <w:t xml:space="preserve">NXP B.V. </w:t>
      </w:r>
    </w:p>
    <w:p>
      <w:pPr>
        <w:pStyle w:val="TextBody"/>
        <w:bidi w:val="0"/>
        <w:spacing w:before="0" w:after="0"/>
        <w:jc w:val="center"/>
        <w:rPr>
          <w:rFonts w:ascii="Times New Roman" w:hAnsi="Times New Roman"/>
          <w:b/>
          <w:sz w:val="20"/>
        </w:rPr>
      </w:pPr>
      <w:r>
        <w:rPr>
          <w:rFonts w:ascii="Times New Roman" w:hAnsi="Times New Roman"/>
          <w:b/>
          <w:sz w:val="20"/>
        </w:rPr>
        <w:t xml:space="preserve">NXP FUNDING LLC </w:t>
      </w:r>
    </w:p>
    <w:p>
      <w:pPr>
        <w:pStyle w:val="TextBody"/>
        <w:bidi w:val="0"/>
        <w:spacing w:before="0" w:after="0"/>
        <w:jc w:val="center"/>
        <w:rPr>
          <w:rFonts w:ascii="Times New Roman" w:hAnsi="Times New Roman"/>
          <w:b/>
          <w:sz w:val="20"/>
        </w:rPr>
      </w:pPr>
      <w:r>
        <w:rPr>
          <w:rFonts w:ascii="Times New Roman" w:hAnsi="Times New Roman"/>
          <w:b/>
          <w:sz w:val="20"/>
        </w:rPr>
        <w:t xml:space="preserve">NXP USA, INC. </w:t>
      </w:r>
    </w:p>
    <w:p>
      <w:pPr>
        <w:pStyle w:val="TextBody"/>
        <w:bidi w:val="0"/>
        <w:spacing w:before="120" w:after="0"/>
        <w:jc w:val="center"/>
        <w:rPr>
          <w:rFonts w:ascii="Times New Roman" w:hAnsi="Times New Roman"/>
          <w:b/>
          <w:sz w:val="20"/>
        </w:rPr>
      </w:pPr>
      <w:r>
        <w:rPr>
          <w:rFonts w:ascii="Times New Roman" w:hAnsi="Times New Roman"/>
          <w:b/>
          <w:sz w:val="20"/>
        </w:rPr>
        <w:t xml:space="preserve">August 12, 2025 </w:t>
      </w:r>
    </w:p>
    <w:p>
      <w:pPr>
        <w:pStyle w:val="TextBody"/>
        <w:bidi w:val="0"/>
        <w:spacing w:before="120" w:after="0"/>
        <w:jc w:val="center"/>
        <w:rPr>
          <w:rFonts w:ascii="Times New Roman" w:hAnsi="Times New Roman"/>
          <w:b/>
          <w:sz w:val="20"/>
        </w:rPr>
      </w:pPr>
      <w:r>
        <w:rPr>
          <w:rFonts w:ascii="Times New Roman" w:hAnsi="Times New Roman"/>
          <w:b/>
          <w:sz w:val="20"/>
        </w:rPr>
        <w:t xml:space="preserve">$500,000,000 4.300% SENIOR NOTES DUE 2028 </w:t>
      </w:r>
    </w:p>
    <w:p>
      <w:pPr>
        <w:pStyle w:val="TextBody"/>
        <w:bidi w:val="0"/>
        <w:spacing w:before="120" w:after="0"/>
        <w:jc w:val="center"/>
        <w:rPr>
          <w:rFonts w:ascii="Times New Roman" w:hAnsi="Times New Roman"/>
          <w:b/>
          <w:sz w:val="20"/>
        </w:rPr>
      </w:pPr>
      <w:r>
        <w:rPr>
          <w:rFonts w:ascii="Times New Roman" w:hAnsi="Times New Roman"/>
          <w:b/>
          <w:sz w:val="20"/>
        </w:rPr>
        <w:t xml:space="preserve">$300,000,000 4.850% SENIOR NOTES DUE 2032 </w:t>
      </w:r>
    </w:p>
    <w:p>
      <w:pPr>
        <w:pStyle w:val="TextBody"/>
        <w:bidi w:val="0"/>
        <w:spacing w:before="120" w:after="0"/>
        <w:jc w:val="center"/>
        <w:rPr>
          <w:rFonts w:ascii="Times New Roman" w:hAnsi="Times New Roman"/>
          <w:b/>
          <w:sz w:val="20"/>
        </w:rPr>
      </w:pPr>
      <w:r>
        <w:rPr>
          <w:rFonts w:ascii="Times New Roman" w:hAnsi="Times New Roman"/>
          <w:b/>
          <w:sz w:val="20"/>
        </w:rPr>
        <w:t xml:space="preserve">$700,000,000 5.250% SENIOR NOTES DUE 2035 </w:t>
      </w:r>
    </w:p>
    <w:p>
      <w:pPr>
        <w:pStyle w:val="TextBody"/>
        <w:bidi w:val="0"/>
        <w:spacing w:before="120" w:after="0"/>
        <w:jc w:val="center"/>
        <w:rPr>
          <w:rFonts w:ascii="Times New Roman" w:hAnsi="Times New Roman"/>
          <w:b/>
          <w:sz w:val="20"/>
        </w:rPr>
      </w:pPr>
      <w:r>
        <w:rPr>
          <w:rFonts w:ascii="Times New Roman" w:hAnsi="Times New Roman"/>
          <w:b/>
          <w:sz w:val="20"/>
        </w:rPr>
        <w:t xml:space="preserve">PRICING TERM SHEET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13"/>
        <w:gridCol w:w="123"/>
        <w:gridCol w:w="7169"/>
      </w:tblGrid>
      <w:tr>
        <w:trPr/>
        <w:tc>
          <w:tcPr>
            <w:tcW w:w="291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169" w:type="dxa"/>
            <w:tcBorders/>
            <w:vAlign w:val="center"/>
          </w:tcPr>
          <w:p>
            <w:pPr>
              <w:pStyle w:val="TableContents"/>
              <w:bidi w:val="0"/>
              <w:spacing w:before="0" w:after="283"/>
              <w:jc w:val="left"/>
              <w:rPr>
                <w:sz w:val="4"/>
                <w:szCs w:val="4"/>
              </w:rPr>
            </w:pPr>
            <w:r>
              <w:rPr>
                <w:sz w:val="4"/>
                <w:szCs w:val="4"/>
              </w:rPr>
            </w:r>
          </w:p>
        </w:tc>
      </w:tr>
      <w:tr>
        <w:trPr/>
        <w:tc>
          <w:tcPr>
            <w:tcW w:w="2913" w:type="dxa"/>
            <w:tcBorders/>
          </w:tcPr>
          <w:p>
            <w:pPr>
              <w:pStyle w:val="TableContents"/>
              <w:bidi w:val="0"/>
              <w:spacing w:before="0" w:after="283"/>
              <w:jc w:val="left"/>
              <w:rPr/>
            </w:pPr>
            <w:r>
              <w:rPr/>
              <w:t>Issuers:</w:t>
            </w:r>
          </w:p>
        </w:tc>
        <w:tc>
          <w:tcPr>
            <w:tcW w:w="123" w:type="dxa"/>
            <w:tcBorders/>
            <w:vAlign w:val="bottom"/>
          </w:tcPr>
          <w:p>
            <w:pPr>
              <w:pStyle w:val="TableContents"/>
              <w:bidi w:val="0"/>
              <w:spacing w:before="0" w:after="283"/>
              <w:jc w:val="left"/>
              <w:rPr/>
            </w:pPr>
            <w:r>
              <w:rPr/>
              <w:t>  </w:t>
            </w:r>
          </w:p>
        </w:tc>
        <w:tc>
          <w:tcPr>
            <w:tcW w:w="7169" w:type="dxa"/>
            <w:tcBorders/>
          </w:tcPr>
          <w:p>
            <w:pPr>
              <w:pStyle w:val="TableContents"/>
              <w:bidi w:val="0"/>
              <w:spacing w:before="0" w:after="283"/>
              <w:jc w:val="left"/>
              <w:rPr/>
            </w:pPr>
            <w:r>
              <w:rPr/>
              <w:t>NXP B.V., NXP Funding LLC and NXP USA, Inc. (collectively, the Issuers or we)</w:t>
            </w:r>
          </w:p>
        </w:tc>
      </w:tr>
      <w:tr>
        <w:trPr>
          <w:trHeight w:val="120" w:hRule="atLeast"/>
        </w:trPr>
        <w:tc>
          <w:tcPr>
            <w:tcW w:w="2913" w:type="dxa"/>
            <w:tcBorders/>
            <w:vAlign w:val="center"/>
          </w:tcPr>
          <w:p>
            <w:pPr>
              <w:pStyle w:val="TableContents"/>
              <w:bidi w:val="0"/>
              <w:spacing w:before="0" w:after="283"/>
              <w:jc w:val="left"/>
              <w:rPr>
                <w:sz w:val="4"/>
                <w:szCs w:val="4"/>
              </w:rPr>
            </w:pPr>
            <w:r>
              <w:rPr>
                <w:sz w:val="4"/>
                <w:szCs w:val="4"/>
              </w:rPr>
            </w:r>
          </w:p>
        </w:tc>
        <w:tc>
          <w:tcPr>
            <w:tcW w:w="7292" w:type="dxa"/>
            <w:gridSpan w:val="2"/>
            <w:tcBorders/>
            <w:vAlign w:val="center"/>
          </w:tcPr>
          <w:p>
            <w:pPr>
              <w:pStyle w:val="TableContents"/>
              <w:bidi w:val="0"/>
              <w:spacing w:before="0" w:after="283"/>
              <w:jc w:val="left"/>
              <w:rPr>
                <w:sz w:val="4"/>
                <w:szCs w:val="4"/>
              </w:rPr>
            </w:pPr>
            <w:r>
              <w:rPr>
                <w:sz w:val="4"/>
                <w:szCs w:val="4"/>
              </w:rPr>
            </w:r>
          </w:p>
        </w:tc>
      </w:tr>
      <w:tr>
        <w:trPr/>
        <w:tc>
          <w:tcPr>
            <w:tcW w:w="2913" w:type="dxa"/>
            <w:tcBorders/>
          </w:tcPr>
          <w:p>
            <w:pPr>
              <w:pStyle w:val="TableContents"/>
              <w:bidi w:val="0"/>
              <w:spacing w:before="0" w:after="283"/>
              <w:jc w:val="left"/>
              <w:rPr/>
            </w:pPr>
            <w:r>
              <w:rPr/>
              <w:t>Notes:</w:t>
            </w:r>
          </w:p>
        </w:tc>
        <w:tc>
          <w:tcPr>
            <w:tcW w:w="123" w:type="dxa"/>
            <w:tcBorders/>
            <w:vAlign w:val="bottom"/>
          </w:tcPr>
          <w:p>
            <w:pPr>
              <w:pStyle w:val="TableContents"/>
              <w:bidi w:val="0"/>
              <w:spacing w:before="0" w:after="283"/>
              <w:jc w:val="left"/>
              <w:rPr/>
            </w:pPr>
            <w:r>
              <w:rPr/>
              <w:t>  </w:t>
            </w:r>
          </w:p>
        </w:tc>
        <w:tc>
          <w:tcPr>
            <w:tcW w:w="7169" w:type="dxa"/>
            <w:tcBorders/>
          </w:tcPr>
          <w:p>
            <w:pPr>
              <w:pStyle w:val="TableContents"/>
              <w:bidi w:val="0"/>
              <w:spacing w:before="0" w:after="0"/>
              <w:jc w:val="left"/>
              <w:rPr>
                <w:rFonts w:ascii="Times New Roman" w:hAnsi="Times New Roman"/>
                <w:sz w:val="20"/>
              </w:rPr>
            </w:pPr>
            <w:r>
              <w:rPr>
                <w:rFonts w:ascii="Times New Roman" w:hAnsi="Times New Roman"/>
                <w:sz w:val="20"/>
              </w:rPr>
              <w:t>$500,000,000 4.300% Senior Notes due 2028 (the 2028 Notes)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$300,000,000 4.850% Senior Notes due 2032 (the 2032 Notes)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$700,000,000 5.250% Senior Notes due 2035 (the 2035 Notes)</w:t>
            </w:r>
          </w:p>
        </w:tc>
      </w:tr>
      <w:tr>
        <w:trPr>
          <w:trHeight w:val="120" w:hRule="atLeast"/>
        </w:trPr>
        <w:tc>
          <w:tcPr>
            <w:tcW w:w="2913" w:type="dxa"/>
            <w:tcBorders/>
            <w:vAlign w:val="center"/>
          </w:tcPr>
          <w:p>
            <w:pPr>
              <w:pStyle w:val="TableContents"/>
              <w:bidi w:val="0"/>
              <w:spacing w:before="0" w:after="283"/>
              <w:jc w:val="left"/>
              <w:rPr>
                <w:sz w:val="4"/>
                <w:szCs w:val="4"/>
              </w:rPr>
            </w:pPr>
            <w:r>
              <w:rPr>
                <w:sz w:val="4"/>
                <w:szCs w:val="4"/>
              </w:rPr>
            </w:r>
          </w:p>
        </w:tc>
        <w:tc>
          <w:tcPr>
            <w:tcW w:w="7292" w:type="dxa"/>
            <w:gridSpan w:val="2"/>
            <w:tcBorders/>
            <w:vAlign w:val="center"/>
          </w:tcPr>
          <w:p>
            <w:pPr>
              <w:pStyle w:val="TableContents"/>
              <w:bidi w:val="0"/>
              <w:spacing w:before="0" w:after="283"/>
              <w:jc w:val="left"/>
              <w:rPr>
                <w:sz w:val="4"/>
                <w:szCs w:val="4"/>
              </w:rPr>
            </w:pPr>
            <w:r>
              <w:rPr>
                <w:sz w:val="4"/>
                <w:szCs w:val="4"/>
              </w:rPr>
            </w:r>
          </w:p>
        </w:tc>
      </w:tr>
      <w:tr>
        <w:trPr/>
        <w:tc>
          <w:tcPr>
            <w:tcW w:w="2913" w:type="dxa"/>
            <w:tcBorders/>
          </w:tcPr>
          <w:p>
            <w:pPr>
              <w:pStyle w:val="TableContents"/>
              <w:bidi w:val="0"/>
              <w:spacing w:before="0" w:after="283"/>
              <w:jc w:val="left"/>
              <w:rPr/>
            </w:pPr>
            <w:r>
              <w:rPr/>
              <w:t>Guarantor:</w:t>
            </w:r>
          </w:p>
        </w:tc>
        <w:tc>
          <w:tcPr>
            <w:tcW w:w="123" w:type="dxa"/>
            <w:tcBorders/>
            <w:vAlign w:val="bottom"/>
          </w:tcPr>
          <w:p>
            <w:pPr>
              <w:pStyle w:val="TableContents"/>
              <w:bidi w:val="0"/>
              <w:spacing w:before="0" w:after="283"/>
              <w:jc w:val="left"/>
              <w:rPr/>
            </w:pPr>
            <w:r>
              <w:rPr/>
              <w:t>  </w:t>
            </w:r>
          </w:p>
        </w:tc>
        <w:tc>
          <w:tcPr>
            <w:tcW w:w="7169" w:type="dxa"/>
            <w:tcBorders/>
          </w:tcPr>
          <w:p>
            <w:pPr>
              <w:pStyle w:val="TableContents"/>
              <w:bidi w:val="0"/>
              <w:spacing w:before="0" w:after="283"/>
              <w:jc w:val="left"/>
              <w:rPr/>
            </w:pPr>
            <w:r>
              <w:rPr/>
              <w:t>The Notes will be guaranteed by NXP Semiconductors N.V., the holding company of NXP B.V.</w:t>
            </w:r>
          </w:p>
        </w:tc>
      </w:tr>
      <w:tr>
        <w:trPr>
          <w:trHeight w:val="120" w:hRule="atLeast"/>
        </w:trPr>
        <w:tc>
          <w:tcPr>
            <w:tcW w:w="2913" w:type="dxa"/>
            <w:tcBorders/>
            <w:vAlign w:val="center"/>
          </w:tcPr>
          <w:p>
            <w:pPr>
              <w:pStyle w:val="TableContents"/>
              <w:bidi w:val="0"/>
              <w:spacing w:before="0" w:after="283"/>
              <w:jc w:val="left"/>
              <w:rPr>
                <w:sz w:val="4"/>
                <w:szCs w:val="4"/>
              </w:rPr>
            </w:pPr>
            <w:r>
              <w:rPr>
                <w:sz w:val="4"/>
                <w:szCs w:val="4"/>
              </w:rPr>
            </w:r>
          </w:p>
        </w:tc>
        <w:tc>
          <w:tcPr>
            <w:tcW w:w="7292" w:type="dxa"/>
            <w:gridSpan w:val="2"/>
            <w:tcBorders/>
            <w:vAlign w:val="center"/>
          </w:tcPr>
          <w:p>
            <w:pPr>
              <w:pStyle w:val="TableContents"/>
              <w:bidi w:val="0"/>
              <w:spacing w:before="0" w:after="283"/>
              <w:jc w:val="left"/>
              <w:rPr>
                <w:sz w:val="4"/>
                <w:szCs w:val="4"/>
              </w:rPr>
            </w:pPr>
            <w:r>
              <w:rPr>
                <w:sz w:val="4"/>
                <w:szCs w:val="4"/>
              </w:rPr>
            </w:r>
          </w:p>
        </w:tc>
      </w:tr>
      <w:tr>
        <w:trPr/>
        <w:tc>
          <w:tcPr>
            <w:tcW w:w="2913" w:type="dxa"/>
            <w:tcBorders/>
          </w:tcPr>
          <w:p>
            <w:pPr>
              <w:pStyle w:val="TableContents"/>
              <w:bidi w:val="0"/>
              <w:spacing w:before="0" w:after="283"/>
              <w:jc w:val="left"/>
              <w:rPr/>
            </w:pPr>
            <w:r>
              <w:rPr/>
              <w:t>Principal Amount:</w:t>
            </w:r>
          </w:p>
        </w:tc>
        <w:tc>
          <w:tcPr>
            <w:tcW w:w="123" w:type="dxa"/>
            <w:tcBorders/>
            <w:vAlign w:val="bottom"/>
          </w:tcPr>
          <w:p>
            <w:pPr>
              <w:pStyle w:val="TableContents"/>
              <w:bidi w:val="0"/>
              <w:spacing w:before="0" w:after="283"/>
              <w:jc w:val="left"/>
              <w:rPr/>
            </w:pPr>
            <w:r>
              <w:rPr/>
              <w:t>  </w:t>
            </w:r>
          </w:p>
        </w:tc>
        <w:tc>
          <w:tcPr>
            <w:tcW w:w="7169" w:type="dxa"/>
            <w:tcBorders/>
          </w:tcPr>
          <w:p>
            <w:pPr>
              <w:pStyle w:val="TableContents"/>
              <w:bidi w:val="0"/>
              <w:spacing w:before="0" w:after="0"/>
              <w:jc w:val="left"/>
              <w:rPr>
                <w:rFonts w:ascii="Times New Roman" w:hAnsi="Times New Roman"/>
                <w:sz w:val="20"/>
              </w:rPr>
            </w:pPr>
            <w:r>
              <w:rPr>
                <w:rFonts w:ascii="Times New Roman" w:hAnsi="Times New Roman"/>
                <w:sz w:val="20"/>
              </w:rPr>
              <w:t>2028 Notes: $500,000,000</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2032 Notes: $300,000,000</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2035 Notes: $700,000,000</w:t>
            </w:r>
          </w:p>
        </w:tc>
      </w:tr>
      <w:tr>
        <w:trPr>
          <w:trHeight w:val="120" w:hRule="atLeast"/>
        </w:trPr>
        <w:tc>
          <w:tcPr>
            <w:tcW w:w="2913" w:type="dxa"/>
            <w:tcBorders/>
            <w:vAlign w:val="center"/>
          </w:tcPr>
          <w:p>
            <w:pPr>
              <w:pStyle w:val="TableContents"/>
              <w:bidi w:val="0"/>
              <w:spacing w:before="0" w:after="283"/>
              <w:jc w:val="left"/>
              <w:rPr>
                <w:sz w:val="4"/>
                <w:szCs w:val="4"/>
              </w:rPr>
            </w:pPr>
            <w:r>
              <w:rPr>
                <w:sz w:val="4"/>
                <w:szCs w:val="4"/>
              </w:rPr>
            </w:r>
          </w:p>
        </w:tc>
        <w:tc>
          <w:tcPr>
            <w:tcW w:w="7292" w:type="dxa"/>
            <w:gridSpan w:val="2"/>
            <w:tcBorders/>
            <w:vAlign w:val="center"/>
          </w:tcPr>
          <w:p>
            <w:pPr>
              <w:pStyle w:val="TableContents"/>
              <w:bidi w:val="0"/>
              <w:spacing w:before="0" w:after="283"/>
              <w:jc w:val="left"/>
              <w:rPr>
                <w:sz w:val="4"/>
                <w:szCs w:val="4"/>
              </w:rPr>
            </w:pPr>
            <w:r>
              <w:rPr>
                <w:sz w:val="4"/>
                <w:szCs w:val="4"/>
              </w:rPr>
            </w:r>
          </w:p>
        </w:tc>
      </w:tr>
      <w:tr>
        <w:trPr/>
        <w:tc>
          <w:tcPr>
            <w:tcW w:w="2913" w:type="dxa"/>
            <w:tcBorders/>
          </w:tcPr>
          <w:p>
            <w:pPr>
              <w:pStyle w:val="TableContents"/>
              <w:bidi w:val="0"/>
              <w:spacing w:before="0" w:after="283"/>
              <w:jc w:val="left"/>
              <w:rPr/>
            </w:pPr>
            <w:r>
              <w:rPr/>
              <w:t>Use of Proceeds:</w:t>
            </w:r>
          </w:p>
        </w:tc>
        <w:tc>
          <w:tcPr>
            <w:tcW w:w="123" w:type="dxa"/>
            <w:tcBorders/>
            <w:vAlign w:val="bottom"/>
          </w:tcPr>
          <w:p>
            <w:pPr>
              <w:pStyle w:val="TableContents"/>
              <w:bidi w:val="0"/>
              <w:spacing w:before="0" w:after="283"/>
              <w:jc w:val="left"/>
              <w:rPr/>
            </w:pPr>
            <w:r>
              <w:rPr/>
              <w:t>  </w:t>
            </w:r>
          </w:p>
        </w:tc>
        <w:tc>
          <w:tcPr>
            <w:tcW w:w="7169" w:type="dxa"/>
            <w:tcBorders/>
          </w:tcPr>
          <w:p>
            <w:pPr>
              <w:pStyle w:val="TableContents"/>
              <w:bidi w:val="0"/>
              <w:spacing w:before="0" w:after="0"/>
              <w:jc w:val="left"/>
              <w:rPr>
                <w:rFonts w:ascii="Times New Roman" w:hAnsi="Times New Roman"/>
                <w:sz w:val="20"/>
              </w:rPr>
            </w:pPr>
            <w:r>
              <w:rPr>
                <w:rFonts w:ascii="Times New Roman" w:hAnsi="Times New Roman"/>
                <w:sz w:val="20"/>
              </w:rPr>
              <w:t>We estimate that the net proceeds to us from this offering, after deducting the Underwriters discounts payable by us, will be approximately $1,491,874,000.</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We intend to use the net proceeds from the offering of the Notes to redeem the 5.350% 2026 Notes and the 3.875% 2026 Notes, including all premiums, accrued interest and costs and expenses related to such redemptions. Pending such application, such proceeds and the excess net proceeds from the Notes will be temporarily held as cash and other short-term securities or used for general corporate purposes, which may include capital expenditures or short-term debt repayment.</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027"/>
        <w:gridCol w:w="123"/>
        <w:gridCol w:w="7055"/>
      </w:tblGrid>
      <w:tr>
        <w:trPr/>
        <w:tc>
          <w:tcPr>
            <w:tcW w:w="302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055" w:type="dxa"/>
            <w:tcBorders/>
            <w:vAlign w:val="center"/>
          </w:tcPr>
          <w:p>
            <w:pPr>
              <w:pStyle w:val="TableContents"/>
              <w:bidi w:val="0"/>
              <w:spacing w:before="0" w:after="283"/>
              <w:jc w:val="left"/>
              <w:rPr>
                <w:sz w:val="4"/>
                <w:szCs w:val="4"/>
              </w:rPr>
            </w:pPr>
            <w:r>
              <w:rPr>
                <w:sz w:val="4"/>
                <w:szCs w:val="4"/>
              </w:rPr>
            </w:r>
          </w:p>
        </w:tc>
      </w:tr>
      <w:tr>
        <w:trPr/>
        <w:tc>
          <w:tcPr>
            <w:tcW w:w="3027" w:type="dxa"/>
            <w:tcBorders/>
          </w:tcPr>
          <w:p>
            <w:pPr>
              <w:pStyle w:val="TableContents"/>
              <w:bidi w:val="0"/>
              <w:spacing w:before="0" w:after="283"/>
              <w:jc w:val="left"/>
              <w:rPr/>
            </w:pPr>
            <w:r>
              <w:rPr/>
              <w:t>Stated Maturity Date:</w:t>
            </w:r>
          </w:p>
        </w:tc>
        <w:tc>
          <w:tcPr>
            <w:tcW w:w="123" w:type="dxa"/>
            <w:tcBorders/>
            <w:vAlign w:val="bottom"/>
          </w:tcPr>
          <w:p>
            <w:pPr>
              <w:pStyle w:val="TableContents"/>
              <w:bidi w:val="0"/>
              <w:spacing w:before="0" w:after="283"/>
              <w:jc w:val="left"/>
              <w:rPr/>
            </w:pPr>
            <w:r>
              <w:rPr/>
              <w:t>  </w:t>
            </w:r>
          </w:p>
        </w:tc>
        <w:tc>
          <w:tcPr>
            <w:tcW w:w="7055" w:type="dxa"/>
            <w:tcBorders/>
          </w:tcPr>
          <w:p>
            <w:pPr>
              <w:pStyle w:val="TableContents"/>
              <w:bidi w:val="0"/>
              <w:spacing w:before="0" w:after="0"/>
              <w:jc w:val="left"/>
              <w:rPr>
                <w:rFonts w:ascii="Times New Roman" w:hAnsi="Times New Roman"/>
                <w:sz w:val="20"/>
              </w:rPr>
            </w:pPr>
            <w:r>
              <w:rPr>
                <w:rFonts w:ascii="Times New Roman" w:hAnsi="Times New Roman"/>
                <w:sz w:val="20"/>
              </w:rPr>
              <w:t>2028 Notes: August 19, 2028</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2032 Notes: August 19, 2032</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xml:space="preserve">2035 Notes: August 19, 2035 </w:t>
            </w:r>
          </w:p>
        </w:tc>
      </w:tr>
      <w:tr>
        <w:trPr>
          <w:trHeight w:val="120" w:hRule="atLeast"/>
        </w:trPr>
        <w:tc>
          <w:tcPr>
            <w:tcW w:w="3027" w:type="dxa"/>
            <w:tcBorders/>
            <w:vAlign w:val="center"/>
          </w:tcPr>
          <w:p>
            <w:pPr>
              <w:pStyle w:val="TableContents"/>
              <w:bidi w:val="0"/>
              <w:spacing w:before="0" w:after="283"/>
              <w:jc w:val="left"/>
              <w:rPr>
                <w:sz w:val="4"/>
                <w:szCs w:val="4"/>
              </w:rPr>
            </w:pPr>
            <w:r>
              <w:rPr>
                <w:sz w:val="4"/>
                <w:szCs w:val="4"/>
              </w:rPr>
            </w:r>
          </w:p>
        </w:tc>
        <w:tc>
          <w:tcPr>
            <w:tcW w:w="7178" w:type="dxa"/>
            <w:gridSpan w:val="2"/>
            <w:tcBorders/>
            <w:vAlign w:val="center"/>
          </w:tcPr>
          <w:p>
            <w:pPr>
              <w:pStyle w:val="TableContents"/>
              <w:bidi w:val="0"/>
              <w:spacing w:before="0" w:after="283"/>
              <w:jc w:val="left"/>
              <w:rPr>
                <w:sz w:val="4"/>
                <w:szCs w:val="4"/>
              </w:rPr>
            </w:pPr>
            <w:r>
              <w:rPr>
                <w:sz w:val="4"/>
                <w:szCs w:val="4"/>
              </w:rPr>
            </w:r>
          </w:p>
        </w:tc>
      </w:tr>
      <w:tr>
        <w:trPr/>
        <w:tc>
          <w:tcPr>
            <w:tcW w:w="3027" w:type="dxa"/>
            <w:tcBorders/>
          </w:tcPr>
          <w:p>
            <w:pPr>
              <w:pStyle w:val="TableContents"/>
              <w:bidi w:val="0"/>
              <w:spacing w:before="0" w:after="283"/>
              <w:jc w:val="left"/>
              <w:rPr/>
            </w:pPr>
            <w:r>
              <w:rPr/>
              <w:t>Denominations:</w:t>
            </w:r>
          </w:p>
        </w:tc>
        <w:tc>
          <w:tcPr>
            <w:tcW w:w="123" w:type="dxa"/>
            <w:tcBorders/>
            <w:vAlign w:val="bottom"/>
          </w:tcPr>
          <w:p>
            <w:pPr>
              <w:pStyle w:val="TableContents"/>
              <w:bidi w:val="0"/>
              <w:spacing w:before="0" w:after="283"/>
              <w:jc w:val="left"/>
              <w:rPr/>
            </w:pPr>
            <w:r>
              <w:rPr/>
              <w:t>  </w:t>
            </w:r>
          </w:p>
        </w:tc>
        <w:tc>
          <w:tcPr>
            <w:tcW w:w="7055" w:type="dxa"/>
            <w:tcBorders/>
          </w:tcPr>
          <w:p>
            <w:pPr>
              <w:pStyle w:val="TableContents"/>
              <w:bidi w:val="0"/>
              <w:spacing w:before="0" w:after="283"/>
              <w:jc w:val="left"/>
              <w:rPr/>
            </w:pPr>
            <w:r>
              <w:rPr/>
              <w:t>$2,000 and integral multiples of $1,000 in excess thereof</w:t>
            </w:r>
          </w:p>
        </w:tc>
      </w:tr>
      <w:tr>
        <w:trPr>
          <w:trHeight w:val="120" w:hRule="atLeast"/>
        </w:trPr>
        <w:tc>
          <w:tcPr>
            <w:tcW w:w="3027" w:type="dxa"/>
            <w:tcBorders/>
            <w:vAlign w:val="center"/>
          </w:tcPr>
          <w:p>
            <w:pPr>
              <w:pStyle w:val="TableContents"/>
              <w:bidi w:val="0"/>
              <w:spacing w:before="0" w:after="283"/>
              <w:jc w:val="left"/>
              <w:rPr>
                <w:sz w:val="4"/>
                <w:szCs w:val="4"/>
              </w:rPr>
            </w:pPr>
            <w:r>
              <w:rPr>
                <w:sz w:val="4"/>
                <w:szCs w:val="4"/>
              </w:rPr>
            </w:r>
          </w:p>
        </w:tc>
        <w:tc>
          <w:tcPr>
            <w:tcW w:w="7178" w:type="dxa"/>
            <w:gridSpan w:val="2"/>
            <w:tcBorders/>
            <w:vAlign w:val="center"/>
          </w:tcPr>
          <w:p>
            <w:pPr>
              <w:pStyle w:val="TableContents"/>
              <w:bidi w:val="0"/>
              <w:spacing w:before="0" w:after="283"/>
              <w:jc w:val="left"/>
              <w:rPr>
                <w:sz w:val="4"/>
                <w:szCs w:val="4"/>
              </w:rPr>
            </w:pPr>
            <w:r>
              <w:rPr>
                <w:sz w:val="4"/>
                <w:szCs w:val="4"/>
              </w:rPr>
            </w:r>
          </w:p>
        </w:tc>
      </w:tr>
      <w:tr>
        <w:trPr/>
        <w:tc>
          <w:tcPr>
            <w:tcW w:w="3027" w:type="dxa"/>
            <w:tcBorders/>
          </w:tcPr>
          <w:p>
            <w:pPr>
              <w:pStyle w:val="TableContents"/>
              <w:bidi w:val="0"/>
              <w:spacing w:before="0" w:after="283"/>
              <w:jc w:val="left"/>
              <w:rPr/>
            </w:pPr>
            <w:r>
              <w:rPr/>
              <w:t>Offering Price:</w:t>
            </w:r>
          </w:p>
        </w:tc>
        <w:tc>
          <w:tcPr>
            <w:tcW w:w="123" w:type="dxa"/>
            <w:tcBorders/>
            <w:vAlign w:val="bottom"/>
          </w:tcPr>
          <w:p>
            <w:pPr>
              <w:pStyle w:val="TableContents"/>
              <w:bidi w:val="0"/>
              <w:spacing w:before="0" w:after="283"/>
              <w:jc w:val="left"/>
              <w:rPr/>
            </w:pPr>
            <w:r>
              <w:rPr/>
              <w:t>  </w:t>
            </w:r>
          </w:p>
        </w:tc>
        <w:tc>
          <w:tcPr>
            <w:tcW w:w="7055" w:type="dxa"/>
            <w:tcBorders/>
          </w:tcPr>
          <w:p>
            <w:pPr>
              <w:pStyle w:val="TableContents"/>
              <w:bidi w:val="0"/>
              <w:spacing w:before="0" w:after="0"/>
              <w:jc w:val="left"/>
              <w:rPr>
                <w:rFonts w:ascii="Times New Roman" w:hAnsi="Times New Roman"/>
                <w:sz w:val="20"/>
              </w:rPr>
            </w:pPr>
            <w:r>
              <w:rPr>
                <w:rFonts w:ascii="Times New Roman" w:hAnsi="Times New Roman"/>
                <w:sz w:val="20"/>
              </w:rPr>
              <w:t>2028 Notes: 99.986%, plus accrued interest, if any, from August 19, 2025</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2032 Notes: 99.800%, plus accrued interest, if any, from August 19, 2025</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2035 Notes: 99.792%, plus accrued interest, if any, from August 19, 2025</w:t>
            </w:r>
          </w:p>
        </w:tc>
      </w:tr>
      <w:tr>
        <w:trPr>
          <w:trHeight w:val="120" w:hRule="atLeast"/>
        </w:trPr>
        <w:tc>
          <w:tcPr>
            <w:tcW w:w="3027" w:type="dxa"/>
            <w:tcBorders/>
            <w:vAlign w:val="center"/>
          </w:tcPr>
          <w:p>
            <w:pPr>
              <w:pStyle w:val="TableContents"/>
              <w:bidi w:val="0"/>
              <w:spacing w:before="0" w:after="283"/>
              <w:jc w:val="left"/>
              <w:rPr>
                <w:sz w:val="4"/>
                <w:szCs w:val="4"/>
              </w:rPr>
            </w:pPr>
            <w:r>
              <w:rPr>
                <w:sz w:val="4"/>
                <w:szCs w:val="4"/>
              </w:rPr>
            </w:r>
          </w:p>
        </w:tc>
        <w:tc>
          <w:tcPr>
            <w:tcW w:w="7178" w:type="dxa"/>
            <w:gridSpan w:val="2"/>
            <w:tcBorders/>
            <w:vAlign w:val="center"/>
          </w:tcPr>
          <w:p>
            <w:pPr>
              <w:pStyle w:val="TableContents"/>
              <w:bidi w:val="0"/>
              <w:spacing w:before="0" w:after="283"/>
              <w:jc w:val="left"/>
              <w:rPr>
                <w:sz w:val="4"/>
                <w:szCs w:val="4"/>
              </w:rPr>
            </w:pPr>
            <w:r>
              <w:rPr>
                <w:sz w:val="4"/>
                <w:szCs w:val="4"/>
              </w:rPr>
            </w:r>
          </w:p>
        </w:tc>
      </w:tr>
      <w:tr>
        <w:trPr/>
        <w:tc>
          <w:tcPr>
            <w:tcW w:w="3027" w:type="dxa"/>
            <w:tcBorders/>
          </w:tcPr>
          <w:p>
            <w:pPr>
              <w:pStyle w:val="TableContents"/>
              <w:bidi w:val="0"/>
              <w:spacing w:before="0" w:after="283"/>
              <w:jc w:val="left"/>
              <w:rPr/>
            </w:pPr>
            <w:r>
              <w:rPr/>
              <w:t>Coupon:</w:t>
            </w:r>
          </w:p>
        </w:tc>
        <w:tc>
          <w:tcPr>
            <w:tcW w:w="123" w:type="dxa"/>
            <w:tcBorders/>
            <w:vAlign w:val="bottom"/>
          </w:tcPr>
          <w:p>
            <w:pPr>
              <w:pStyle w:val="TableContents"/>
              <w:bidi w:val="0"/>
              <w:spacing w:before="0" w:after="283"/>
              <w:jc w:val="left"/>
              <w:rPr/>
            </w:pPr>
            <w:r>
              <w:rPr/>
              <w:t>  </w:t>
            </w:r>
          </w:p>
        </w:tc>
        <w:tc>
          <w:tcPr>
            <w:tcW w:w="7055" w:type="dxa"/>
            <w:tcBorders/>
          </w:tcPr>
          <w:p>
            <w:pPr>
              <w:pStyle w:val="TableContents"/>
              <w:bidi w:val="0"/>
              <w:spacing w:before="0" w:after="0"/>
              <w:jc w:val="left"/>
              <w:rPr>
                <w:rFonts w:ascii="Times New Roman" w:hAnsi="Times New Roman"/>
                <w:sz w:val="20"/>
              </w:rPr>
            </w:pPr>
            <w:r>
              <w:rPr>
                <w:rFonts w:ascii="Times New Roman" w:hAnsi="Times New Roman"/>
                <w:sz w:val="20"/>
              </w:rPr>
              <w:t>2028 Notes: 4.300% per annum</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2032 Notes: 4.850% per annum</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2035 Notes: 5.250% per annum</w:t>
            </w:r>
          </w:p>
        </w:tc>
      </w:tr>
      <w:tr>
        <w:trPr>
          <w:trHeight w:val="120" w:hRule="atLeast"/>
        </w:trPr>
        <w:tc>
          <w:tcPr>
            <w:tcW w:w="3027" w:type="dxa"/>
            <w:tcBorders/>
            <w:vAlign w:val="center"/>
          </w:tcPr>
          <w:p>
            <w:pPr>
              <w:pStyle w:val="TableContents"/>
              <w:bidi w:val="0"/>
              <w:spacing w:before="0" w:after="283"/>
              <w:jc w:val="left"/>
              <w:rPr>
                <w:sz w:val="4"/>
                <w:szCs w:val="4"/>
              </w:rPr>
            </w:pPr>
            <w:r>
              <w:rPr>
                <w:sz w:val="4"/>
                <w:szCs w:val="4"/>
              </w:rPr>
            </w:r>
          </w:p>
        </w:tc>
        <w:tc>
          <w:tcPr>
            <w:tcW w:w="7178" w:type="dxa"/>
            <w:gridSpan w:val="2"/>
            <w:tcBorders/>
            <w:vAlign w:val="center"/>
          </w:tcPr>
          <w:p>
            <w:pPr>
              <w:pStyle w:val="TableContents"/>
              <w:bidi w:val="0"/>
              <w:spacing w:before="0" w:after="283"/>
              <w:jc w:val="left"/>
              <w:rPr>
                <w:sz w:val="4"/>
                <w:szCs w:val="4"/>
              </w:rPr>
            </w:pPr>
            <w:r>
              <w:rPr>
                <w:sz w:val="4"/>
                <w:szCs w:val="4"/>
              </w:rPr>
            </w:r>
          </w:p>
        </w:tc>
      </w:tr>
      <w:tr>
        <w:trPr/>
        <w:tc>
          <w:tcPr>
            <w:tcW w:w="3027" w:type="dxa"/>
            <w:tcBorders/>
          </w:tcPr>
          <w:p>
            <w:pPr>
              <w:pStyle w:val="TableContents"/>
              <w:bidi w:val="0"/>
              <w:spacing w:before="0" w:after="283"/>
              <w:jc w:val="left"/>
              <w:rPr/>
            </w:pPr>
            <w:r>
              <w:rPr/>
              <w:t>Yield to Maturity:</w:t>
            </w:r>
          </w:p>
        </w:tc>
        <w:tc>
          <w:tcPr>
            <w:tcW w:w="123" w:type="dxa"/>
            <w:tcBorders/>
            <w:vAlign w:val="bottom"/>
          </w:tcPr>
          <w:p>
            <w:pPr>
              <w:pStyle w:val="TableContents"/>
              <w:bidi w:val="0"/>
              <w:spacing w:before="0" w:after="283"/>
              <w:jc w:val="left"/>
              <w:rPr/>
            </w:pPr>
            <w:r>
              <w:rPr/>
              <w:t>  </w:t>
            </w:r>
          </w:p>
        </w:tc>
        <w:tc>
          <w:tcPr>
            <w:tcW w:w="7055" w:type="dxa"/>
            <w:tcBorders/>
          </w:tcPr>
          <w:p>
            <w:pPr>
              <w:pStyle w:val="TableContents"/>
              <w:bidi w:val="0"/>
              <w:spacing w:before="0" w:after="0"/>
              <w:jc w:val="left"/>
              <w:rPr>
                <w:rFonts w:ascii="Times New Roman" w:hAnsi="Times New Roman"/>
                <w:sz w:val="20"/>
              </w:rPr>
            </w:pPr>
            <w:r>
              <w:rPr>
                <w:rFonts w:ascii="Times New Roman" w:hAnsi="Times New Roman"/>
                <w:sz w:val="20"/>
              </w:rPr>
              <w:t>2028 Notes: 4.305%</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2032 Notes: 4.884%</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2035 Notes: 5.277%</w:t>
            </w:r>
          </w:p>
        </w:tc>
      </w:tr>
      <w:tr>
        <w:trPr>
          <w:trHeight w:val="120" w:hRule="atLeast"/>
        </w:trPr>
        <w:tc>
          <w:tcPr>
            <w:tcW w:w="3027" w:type="dxa"/>
            <w:tcBorders/>
            <w:vAlign w:val="center"/>
          </w:tcPr>
          <w:p>
            <w:pPr>
              <w:pStyle w:val="TableContents"/>
              <w:bidi w:val="0"/>
              <w:spacing w:before="0" w:after="283"/>
              <w:jc w:val="left"/>
              <w:rPr>
                <w:sz w:val="4"/>
                <w:szCs w:val="4"/>
              </w:rPr>
            </w:pPr>
            <w:r>
              <w:rPr>
                <w:sz w:val="4"/>
                <w:szCs w:val="4"/>
              </w:rPr>
            </w:r>
          </w:p>
        </w:tc>
        <w:tc>
          <w:tcPr>
            <w:tcW w:w="7178" w:type="dxa"/>
            <w:gridSpan w:val="2"/>
            <w:tcBorders/>
            <w:vAlign w:val="center"/>
          </w:tcPr>
          <w:p>
            <w:pPr>
              <w:pStyle w:val="TableContents"/>
              <w:bidi w:val="0"/>
              <w:spacing w:before="0" w:after="283"/>
              <w:jc w:val="left"/>
              <w:rPr>
                <w:sz w:val="4"/>
                <w:szCs w:val="4"/>
              </w:rPr>
            </w:pPr>
            <w:r>
              <w:rPr>
                <w:sz w:val="4"/>
                <w:szCs w:val="4"/>
              </w:rPr>
            </w:r>
          </w:p>
        </w:tc>
      </w:tr>
      <w:tr>
        <w:trPr/>
        <w:tc>
          <w:tcPr>
            <w:tcW w:w="3027" w:type="dxa"/>
            <w:tcBorders/>
          </w:tcPr>
          <w:p>
            <w:pPr>
              <w:pStyle w:val="TableContents"/>
              <w:bidi w:val="0"/>
              <w:spacing w:before="0" w:after="283"/>
              <w:jc w:val="left"/>
              <w:rPr/>
            </w:pPr>
            <w:r>
              <w:rPr/>
              <w:t>Benchmark Treasury:</w:t>
            </w:r>
          </w:p>
        </w:tc>
        <w:tc>
          <w:tcPr>
            <w:tcW w:w="123" w:type="dxa"/>
            <w:tcBorders/>
            <w:vAlign w:val="bottom"/>
          </w:tcPr>
          <w:p>
            <w:pPr>
              <w:pStyle w:val="TableContents"/>
              <w:bidi w:val="0"/>
              <w:spacing w:before="0" w:after="283"/>
              <w:jc w:val="left"/>
              <w:rPr/>
            </w:pPr>
            <w:r>
              <w:rPr/>
              <w:t>  </w:t>
            </w:r>
          </w:p>
        </w:tc>
        <w:tc>
          <w:tcPr>
            <w:tcW w:w="7055" w:type="dxa"/>
            <w:tcBorders/>
          </w:tcPr>
          <w:p>
            <w:pPr>
              <w:pStyle w:val="TableContents"/>
              <w:bidi w:val="0"/>
              <w:spacing w:before="0" w:after="0"/>
              <w:jc w:val="left"/>
              <w:rPr>
                <w:rFonts w:ascii="Times New Roman" w:hAnsi="Times New Roman"/>
                <w:sz w:val="20"/>
              </w:rPr>
            </w:pPr>
            <w:r>
              <w:rPr>
                <w:rFonts w:ascii="Times New Roman" w:hAnsi="Times New Roman"/>
                <w:sz w:val="20"/>
              </w:rPr>
              <w:t>2028 Notes: 3.625% UST due August 15, 2028</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2032 Notes: 4.000% UST due July 31, 2032</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2035 Notes: 4.250% UST due August 15, 2035</w:t>
            </w:r>
          </w:p>
        </w:tc>
      </w:tr>
      <w:tr>
        <w:trPr>
          <w:trHeight w:val="120" w:hRule="atLeast"/>
        </w:trPr>
        <w:tc>
          <w:tcPr>
            <w:tcW w:w="3027" w:type="dxa"/>
            <w:tcBorders/>
            <w:vAlign w:val="center"/>
          </w:tcPr>
          <w:p>
            <w:pPr>
              <w:pStyle w:val="TableContents"/>
              <w:bidi w:val="0"/>
              <w:spacing w:before="0" w:after="283"/>
              <w:jc w:val="left"/>
              <w:rPr>
                <w:sz w:val="4"/>
                <w:szCs w:val="4"/>
              </w:rPr>
            </w:pPr>
            <w:r>
              <w:rPr>
                <w:sz w:val="4"/>
                <w:szCs w:val="4"/>
              </w:rPr>
            </w:r>
          </w:p>
        </w:tc>
        <w:tc>
          <w:tcPr>
            <w:tcW w:w="7178" w:type="dxa"/>
            <w:gridSpan w:val="2"/>
            <w:tcBorders/>
            <w:vAlign w:val="center"/>
          </w:tcPr>
          <w:p>
            <w:pPr>
              <w:pStyle w:val="TableContents"/>
              <w:bidi w:val="0"/>
              <w:spacing w:before="0" w:after="283"/>
              <w:jc w:val="left"/>
              <w:rPr>
                <w:sz w:val="4"/>
                <w:szCs w:val="4"/>
              </w:rPr>
            </w:pPr>
            <w:r>
              <w:rPr>
                <w:sz w:val="4"/>
                <w:szCs w:val="4"/>
              </w:rPr>
            </w:r>
          </w:p>
        </w:tc>
      </w:tr>
      <w:tr>
        <w:trPr/>
        <w:tc>
          <w:tcPr>
            <w:tcW w:w="3027" w:type="dxa"/>
            <w:tcBorders/>
          </w:tcPr>
          <w:p>
            <w:pPr>
              <w:pStyle w:val="TableContents"/>
              <w:bidi w:val="0"/>
              <w:spacing w:before="0" w:after="283"/>
              <w:jc w:val="left"/>
              <w:rPr/>
            </w:pPr>
            <w:r>
              <w:rPr/>
              <w:t>Benchmark Treasury Price / Yield:</w:t>
            </w:r>
          </w:p>
        </w:tc>
        <w:tc>
          <w:tcPr>
            <w:tcW w:w="123" w:type="dxa"/>
            <w:tcBorders/>
            <w:vAlign w:val="bottom"/>
          </w:tcPr>
          <w:p>
            <w:pPr>
              <w:pStyle w:val="TableContents"/>
              <w:bidi w:val="0"/>
              <w:spacing w:before="0" w:after="283"/>
              <w:jc w:val="left"/>
              <w:rPr/>
            </w:pPr>
            <w:r>
              <w:rPr/>
              <w:t>  </w:t>
            </w:r>
          </w:p>
        </w:tc>
        <w:tc>
          <w:tcPr>
            <w:tcW w:w="7055" w:type="dxa"/>
            <w:tcBorders/>
          </w:tcPr>
          <w:p>
            <w:pPr>
              <w:pStyle w:val="TableContents"/>
              <w:bidi w:val="0"/>
              <w:spacing w:before="0" w:after="0"/>
              <w:jc w:val="left"/>
              <w:rPr>
                <w:rFonts w:ascii="Times New Roman" w:hAnsi="Times New Roman"/>
                <w:sz w:val="20"/>
              </w:rPr>
            </w:pPr>
            <w:r>
              <w:rPr>
                <w:rFonts w:ascii="Times New Roman" w:hAnsi="Times New Roman"/>
                <w:sz w:val="20"/>
              </w:rPr>
              <w:t>2028 Notes: 99-243⁄4 / 3.705%</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2032 Notes: 99-25+ / 4.034%</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2035 Notes: 99-20 / 4.297%</w:t>
            </w:r>
          </w:p>
        </w:tc>
      </w:tr>
      <w:tr>
        <w:trPr>
          <w:trHeight w:val="120" w:hRule="atLeast"/>
        </w:trPr>
        <w:tc>
          <w:tcPr>
            <w:tcW w:w="3027" w:type="dxa"/>
            <w:tcBorders/>
            <w:vAlign w:val="center"/>
          </w:tcPr>
          <w:p>
            <w:pPr>
              <w:pStyle w:val="TableContents"/>
              <w:bidi w:val="0"/>
              <w:spacing w:before="0" w:after="283"/>
              <w:jc w:val="left"/>
              <w:rPr>
                <w:sz w:val="4"/>
                <w:szCs w:val="4"/>
              </w:rPr>
            </w:pPr>
            <w:r>
              <w:rPr>
                <w:sz w:val="4"/>
                <w:szCs w:val="4"/>
              </w:rPr>
            </w:r>
          </w:p>
        </w:tc>
        <w:tc>
          <w:tcPr>
            <w:tcW w:w="7178" w:type="dxa"/>
            <w:gridSpan w:val="2"/>
            <w:tcBorders/>
            <w:vAlign w:val="center"/>
          </w:tcPr>
          <w:p>
            <w:pPr>
              <w:pStyle w:val="TableContents"/>
              <w:bidi w:val="0"/>
              <w:spacing w:before="0" w:after="283"/>
              <w:jc w:val="left"/>
              <w:rPr>
                <w:sz w:val="4"/>
                <w:szCs w:val="4"/>
              </w:rPr>
            </w:pPr>
            <w:r>
              <w:rPr>
                <w:sz w:val="4"/>
                <w:szCs w:val="4"/>
              </w:rPr>
            </w:r>
          </w:p>
        </w:tc>
      </w:tr>
      <w:tr>
        <w:trPr/>
        <w:tc>
          <w:tcPr>
            <w:tcW w:w="3027" w:type="dxa"/>
            <w:tcBorders/>
          </w:tcPr>
          <w:p>
            <w:pPr>
              <w:pStyle w:val="TableContents"/>
              <w:bidi w:val="0"/>
              <w:spacing w:before="0" w:after="283"/>
              <w:jc w:val="left"/>
              <w:rPr/>
            </w:pPr>
            <w:r>
              <w:rPr/>
              <w:t>Spread to Benchmark Treasury:</w:t>
            </w:r>
          </w:p>
        </w:tc>
        <w:tc>
          <w:tcPr>
            <w:tcW w:w="123" w:type="dxa"/>
            <w:tcBorders/>
            <w:vAlign w:val="bottom"/>
          </w:tcPr>
          <w:p>
            <w:pPr>
              <w:pStyle w:val="TableContents"/>
              <w:bidi w:val="0"/>
              <w:spacing w:before="0" w:after="283"/>
              <w:jc w:val="left"/>
              <w:rPr/>
            </w:pPr>
            <w:r>
              <w:rPr/>
              <w:t>  </w:t>
            </w:r>
          </w:p>
        </w:tc>
        <w:tc>
          <w:tcPr>
            <w:tcW w:w="7055" w:type="dxa"/>
            <w:tcBorders/>
          </w:tcPr>
          <w:p>
            <w:pPr>
              <w:pStyle w:val="TableContents"/>
              <w:bidi w:val="0"/>
              <w:spacing w:before="0" w:after="0"/>
              <w:jc w:val="left"/>
              <w:rPr>
                <w:rFonts w:ascii="Times New Roman" w:hAnsi="Times New Roman"/>
                <w:sz w:val="20"/>
              </w:rPr>
            </w:pPr>
            <w:r>
              <w:rPr>
                <w:rFonts w:ascii="Times New Roman" w:hAnsi="Times New Roman"/>
                <w:sz w:val="20"/>
              </w:rPr>
              <w:t>2028 Notes: T + 60 basis points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2032 Notes: T + 85 basis points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2035 Notes: T + 98 basis points</w:t>
            </w:r>
          </w:p>
        </w:tc>
      </w:tr>
      <w:tr>
        <w:trPr>
          <w:trHeight w:val="120" w:hRule="atLeast"/>
        </w:trPr>
        <w:tc>
          <w:tcPr>
            <w:tcW w:w="3027" w:type="dxa"/>
            <w:tcBorders/>
            <w:vAlign w:val="center"/>
          </w:tcPr>
          <w:p>
            <w:pPr>
              <w:pStyle w:val="TableContents"/>
              <w:bidi w:val="0"/>
              <w:spacing w:before="0" w:after="283"/>
              <w:jc w:val="left"/>
              <w:rPr>
                <w:sz w:val="4"/>
                <w:szCs w:val="4"/>
              </w:rPr>
            </w:pPr>
            <w:r>
              <w:rPr>
                <w:sz w:val="4"/>
                <w:szCs w:val="4"/>
              </w:rPr>
            </w:r>
          </w:p>
        </w:tc>
        <w:tc>
          <w:tcPr>
            <w:tcW w:w="7178" w:type="dxa"/>
            <w:gridSpan w:val="2"/>
            <w:tcBorders/>
            <w:vAlign w:val="center"/>
          </w:tcPr>
          <w:p>
            <w:pPr>
              <w:pStyle w:val="TableContents"/>
              <w:bidi w:val="0"/>
              <w:spacing w:before="0" w:after="283"/>
              <w:jc w:val="left"/>
              <w:rPr>
                <w:sz w:val="4"/>
                <w:szCs w:val="4"/>
              </w:rPr>
            </w:pPr>
            <w:r>
              <w:rPr>
                <w:sz w:val="4"/>
                <w:szCs w:val="4"/>
              </w:rPr>
            </w:r>
          </w:p>
        </w:tc>
      </w:tr>
      <w:tr>
        <w:trPr/>
        <w:tc>
          <w:tcPr>
            <w:tcW w:w="3027" w:type="dxa"/>
            <w:tcBorders/>
          </w:tcPr>
          <w:p>
            <w:pPr>
              <w:pStyle w:val="TableContents"/>
              <w:bidi w:val="0"/>
              <w:spacing w:before="0" w:after="283"/>
              <w:jc w:val="left"/>
              <w:rPr/>
            </w:pPr>
            <w:r>
              <w:rPr/>
              <w:t>Expected Ratings (Outlook):*</w:t>
            </w:r>
          </w:p>
        </w:tc>
        <w:tc>
          <w:tcPr>
            <w:tcW w:w="123" w:type="dxa"/>
            <w:tcBorders/>
            <w:vAlign w:val="bottom"/>
          </w:tcPr>
          <w:p>
            <w:pPr>
              <w:pStyle w:val="TableContents"/>
              <w:bidi w:val="0"/>
              <w:spacing w:before="0" w:after="283"/>
              <w:jc w:val="left"/>
              <w:rPr/>
            </w:pPr>
            <w:r>
              <w:rPr/>
              <w:t>  </w:t>
            </w:r>
          </w:p>
        </w:tc>
        <w:tc>
          <w:tcPr>
            <w:tcW w:w="7055" w:type="dxa"/>
            <w:tcBorders/>
          </w:tcPr>
          <w:p>
            <w:pPr>
              <w:pStyle w:val="TableContents"/>
              <w:bidi w:val="0"/>
              <w:spacing w:before="0" w:after="283"/>
              <w:jc w:val="left"/>
              <w:rPr/>
            </w:pPr>
            <w:r>
              <w:rPr/>
              <w:t>Moodys: Baa3 (positive); S&amp;P: BBB+ (stable); Fitch: BBB+ (stable)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88"/>
        <w:gridCol w:w="121"/>
        <w:gridCol w:w="7096"/>
      </w:tblGrid>
      <w:tr>
        <w:trPr/>
        <w:tc>
          <w:tcPr>
            <w:tcW w:w="298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096" w:type="dxa"/>
            <w:tcBorders/>
            <w:vAlign w:val="center"/>
          </w:tcPr>
          <w:p>
            <w:pPr>
              <w:pStyle w:val="TableContents"/>
              <w:bidi w:val="0"/>
              <w:spacing w:before="0" w:after="283"/>
              <w:jc w:val="left"/>
              <w:rPr>
                <w:sz w:val="4"/>
                <w:szCs w:val="4"/>
              </w:rPr>
            </w:pPr>
            <w:r>
              <w:rPr>
                <w:sz w:val="4"/>
                <w:szCs w:val="4"/>
              </w:rPr>
            </w:r>
          </w:p>
        </w:tc>
      </w:tr>
      <w:tr>
        <w:trPr/>
        <w:tc>
          <w:tcPr>
            <w:tcW w:w="2988" w:type="dxa"/>
            <w:tcBorders/>
          </w:tcPr>
          <w:p>
            <w:pPr>
              <w:pStyle w:val="TableContents"/>
              <w:bidi w:val="0"/>
              <w:spacing w:before="0" w:after="283"/>
              <w:jc w:val="left"/>
              <w:rPr/>
            </w:pPr>
            <w:r>
              <w:rPr/>
              <w:t>Interest Payment Dates:</w:t>
            </w:r>
          </w:p>
        </w:tc>
        <w:tc>
          <w:tcPr>
            <w:tcW w:w="121" w:type="dxa"/>
            <w:tcBorders/>
            <w:vAlign w:val="bottom"/>
          </w:tcPr>
          <w:p>
            <w:pPr>
              <w:pStyle w:val="TableContents"/>
              <w:bidi w:val="0"/>
              <w:spacing w:before="0" w:after="283"/>
              <w:jc w:val="left"/>
              <w:rPr/>
            </w:pPr>
            <w:r>
              <w:rPr/>
              <w:t>  </w:t>
            </w:r>
          </w:p>
        </w:tc>
        <w:tc>
          <w:tcPr>
            <w:tcW w:w="7096" w:type="dxa"/>
            <w:tcBorders/>
          </w:tcPr>
          <w:p>
            <w:pPr>
              <w:pStyle w:val="TableContents"/>
              <w:bidi w:val="0"/>
              <w:spacing w:before="0" w:after="0"/>
              <w:jc w:val="left"/>
              <w:rPr>
                <w:rFonts w:ascii="Times New Roman" w:hAnsi="Times New Roman"/>
                <w:sz w:val="20"/>
              </w:rPr>
            </w:pPr>
            <w:r>
              <w:rPr>
                <w:rFonts w:ascii="Times New Roman" w:hAnsi="Times New Roman"/>
                <w:sz w:val="20"/>
              </w:rPr>
              <w:t>2028 Notes: February 19 and August 19, beginning on February 19, 2026</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2032 Notes: February 19 and August 19, beginning on February 19, 2026</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2035 Notes: February 19 and August 19, beginning on February 19, 2026</w:t>
            </w:r>
          </w:p>
        </w:tc>
      </w:tr>
      <w:tr>
        <w:trPr>
          <w:trHeight w:val="120" w:hRule="atLeast"/>
        </w:trPr>
        <w:tc>
          <w:tcPr>
            <w:tcW w:w="2988" w:type="dxa"/>
            <w:tcBorders/>
            <w:vAlign w:val="center"/>
          </w:tcPr>
          <w:p>
            <w:pPr>
              <w:pStyle w:val="TableContents"/>
              <w:bidi w:val="0"/>
              <w:spacing w:before="0" w:after="283"/>
              <w:jc w:val="left"/>
              <w:rPr>
                <w:sz w:val="4"/>
                <w:szCs w:val="4"/>
              </w:rPr>
            </w:pPr>
            <w:r>
              <w:rPr>
                <w:sz w:val="4"/>
                <w:szCs w:val="4"/>
              </w:rPr>
            </w:r>
          </w:p>
        </w:tc>
        <w:tc>
          <w:tcPr>
            <w:tcW w:w="7217" w:type="dxa"/>
            <w:gridSpan w:val="2"/>
            <w:tcBorders/>
            <w:vAlign w:val="center"/>
          </w:tcPr>
          <w:p>
            <w:pPr>
              <w:pStyle w:val="TableContents"/>
              <w:bidi w:val="0"/>
              <w:spacing w:before="0" w:after="283"/>
              <w:jc w:val="left"/>
              <w:rPr>
                <w:sz w:val="4"/>
                <w:szCs w:val="4"/>
              </w:rPr>
            </w:pPr>
            <w:r>
              <w:rPr>
                <w:sz w:val="4"/>
                <w:szCs w:val="4"/>
              </w:rPr>
            </w:r>
          </w:p>
        </w:tc>
      </w:tr>
      <w:tr>
        <w:trPr/>
        <w:tc>
          <w:tcPr>
            <w:tcW w:w="2988" w:type="dxa"/>
            <w:tcBorders/>
          </w:tcPr>
          <w:p>
            <w:pPr>
              <w:pStyle w:val="TableContents"/>
              <w:bidi w:val="0"/>
              <w:spacing w:before="0" w:after="283"/>
              <w:jc w:val="left"/>
              <w:rPr/>
            </w:pPr>
            <w:r>
              <w:rPr/>
              <w:t>Record Dates:</w:t>
            </w:r>
          </w:p>
        </w:tc>
        <w:tc>
          <w:tcPr>
            <w:tcW w:w="121" w:type="dxa"/>
            <w:tcBorders/>
            <w:vAlign w:val="bottom"/>
          </w:tcPr>
          <w:p>
            <w:pPr>
              <w:pStyle w:val="TableContents"/>
              <w:bidi w:val="0"/>
              <w:spacing w:before="0" w:after="283"/>
              <w:jc w:val="left"/>
              <w:rPr/>
            </w:pPr>
            <w:r>
              <w:rPr/>
              <w:t>  </w:t>
            </w:r>
          </w:p>
        </w:tc>
        <w:tc>
          <w:tcPr>
            <w:tcW w:w="7096" w:type="dxa"/>
            <w:tcBorders/>
          </w:tcPr>
          <w:p>
            <w:pPr>
              <w:pStyle w:val="TableContents"/>
              <w:bidi w:val="0"/>
              <w:spacing w:before="0" w:after="0"/>
              <w:jc w:val="left"/>
              <w:rPr>
                <w:rFonts w:ascii="Times New Roman" w:hAnsi="Times New Roman"/>
                <w:sz w:val="20"/>
              </w:rPr>
            </w:pPr>
            <w:r>
              <w:rPr>
                <w:rFonts w:ascii="Times New Roman" w:hAnsi="Times New Roman"/>
                <w:sz w:val="20"/>
              </w:rPr>
              <w:t>2028 Notes: February 1 and August 1</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2032 Notes: February 1 and August 1</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2035 Notes: February 1 and August 1</w:t>
            </w:r>
          </w:p>
        </w:tc>
      </w:tr>
      <w:tr>
        <w:trPr>
          <w:trHeight w:val="120" w:hRule="atLeast"/>
        </w:trPr>
        <w:tc>
          <w:tcPr>
            <w:tcW w:w="2988" w:type="dxa"/>
            <w:tcBorders/>
            <w:vAlign w:val="center"/>
          </w:tcPr>
          <w:p>
            <w:pPr>
              <w:pStyle w:val="TableContents"/>
              <w:bidi w:val="0"/>
              <w:spacing w:before="0" w:after="283"/>
              <w:jc w:val="left"/>
              <w:rPr>
                <w:sz w:val="4"/>
                <w:szCs w:val="4"/>
              </w:rPr>
            </w:pPr>
            <w:r>
              <w:rPr>
                <w:sz w:val="4"/>
                <w:szCs w:val="4"/>
              </w:rPr>
            </w:r>
          </w:p>
        </w:tc>
        <w:tc>
          <w:tcPr>
            <w:tcW w:w="7217" w:type="dxa"/>
            <w:gridSpan w:val="2"/>
            <w:tcBorders/>
            <w:vAlign w:val="center"/>
          </w:tcPr>
          <w:p>
            <w:pPr>
              <w:pStyle w:val="TableContents"/>
              <w:bidi w:val="0"/>
              <w:spacing w:before="0" w:after="283"/>
              <w:jc w:val="left"/>
              <w:rPr>
                <w:sz w:val="4"/>
                <w:szCs w:val="4"/>
              </w:rPr>
            </w:pPr>
            <w:r>
              <w:rPr>
                <w:sz w:val="4"/>
                <w:szCs w:val="4"/>
              </w:rPr>
            </w:r>
          </w:p>
        </w:tc>
      </w:tr>
      <w:tr>
        <w:trPr/>
        <w:tc>
          <w:tcPr>
            <w:tcW w:w="2988" w:type="dxa"/>
            <w:tcBorders/>
          </w:tcPr>
          <w:p>
            <w:pPr>
              <w:pStyle w:val="TableContents"/>
              <w:bidi w:val="0"/>
              <w:spacing w:before="0" w:after="283"/>
              <w:jc w:val="left"/>
              <w:rPr/>
            </w:pPr>
            <w:r>
              <w:rPr/>
              <w:t>Par Call:</w:t>
            </w:r>
          </w:p>
        </w:tc>
        <w:tc>
          <w:tcPr>
            <w:tcW w:w="121" w:type="dxa"/>
            <w:tcBorders/>
            <w:vAlign w:val="bottom"/>
          </w:tcPr>
          <w:p>
            <w:pPr>
              <w:pStyle w:val="TableContents"/>
              <w:bidi w:val="0"/>
              <w:spacing w:before="0" w:after="283"/>
              <w:jc w:val="left"/>
              <w:rPr/>
            </w:pPr>
            <w:r>
              <w:rPr/>
              <w:t>  </w:t>
            </w:r>
          </w:p>
        </w:tc>
        <w:tc>
          <w:tcPr>
            <w:tcW w:w="7096" w:type="dxa"/>
            <w:tcBorders/>
          </w:tcPr>
          <w:p>
            <w:pPr>
              <w:pStyle w:val="TableContents"/>
              <w:bidi w:val="0"/>
              <w:spacing w:before="0" w:after="0"/>
              <w:jc w:val="left"/>
              <w:rPr>
                <w:rFonts w:ascii="Times New Roman" w:hAnsi="Times New Roman"/>
                <w:sz w:val="20"/>
              </w:rPr>
            </w:pPr>
            <w:r>
              <w:rPr>
                <w:rFonts w:ascii="Times New Roman" w:hAnsi="Times New Roman"/>
                <w:sz w:val="20"/>
              </w:rPr>
              <w:t>2028 Notes: Par call on or after July 19, 2028 (the date that is one month prior to the final maturity date)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2032 Notes: Par call on or after June 19, 2032 (the date that is two months prior to the final maturity date)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2035 Notes: Par call on or after May 19, 2035 (the date that is three months prior to the final maturity date)</w:t>
            </w:r>
          </w:p>
        </w:tc>
      </w:tr>
      <w:tr>
        <w:trPr>
          <w:trHeight w:val="120" w:hRule="atLeast"/>
        </w:trPr>
        <w:tc>
          <w:tcPr>
            <w:tcW w:w="2988" w:type="dxa"/>
            <w:tcBorders/>
            <w:vAlign w:val="center"/>
          </w:tcPr>
          <w:p>
            <w:pPr>
              <w:pStyle w:val="TableContents"/>
              <w:bidi w:val="0"/>
              <w:spacing w:before="0" w:after="283"/>
              <w:jc w:val="left"/>
              <w:rPr>
                <w:sz w:val="4"/>
                <w:szCs w:val="4"/>
              </w:rPr>
            </w:pPr>
            <w:r>
              <w:rPr>
                <w:sz w:val="4"/>
                <w:szCs w:val="4"/>
              </w:rPr>
            </w:r>
          </w:p>
        </w:tc>
        <w:tc>
          <w:tcPr>
            <w:tcW w:w="7217" w:type="dxa"/>
            <w:gridSpan w:val="2"/>
            <w:tcBorders/>
            <w:vAlign w:val="center"/>
          </w:tcPr>
          <w:p>
            <w:pPr>
              <w:pStyle w:val="TableContents"/>
              <w:bidi w:val="0"/>
              <w:spacing w:before="0" w:after="283"/>
              <w:jc w:val="left"/>
              <w:rPr>
                <w:sz w:val="4"/>
                <w:szCs w:val="4"/>
              </w:rPr>
            </w:pPr>
            <w:r>
              <w:rPr>
                <w:sz w:val="4"/>
                <w:szCs w:val="4"/>
              </w:rPr>
            </w:r>
          </w:p>
        </w:tc>
      </w:tr>
      <w:tr>
        <w:trPr/>
        <w:tc>
          <w:tcPr>
            <w:tcW w:w="2988" w:type="dxa"/>
            <w:tcBorders/>
          </w:tcPr>
          <w:p>
            <w:pPr>
              <w:pStyle w:val="TableContents"/>
              <w:bidi w:val="0"/>
              <w:spacing w:before="0" w:after="283"/>
              <w:jc w:val="left"/>
              <w:rPr/>
            </w:pPr>
            <w:r>
              <w:rPr/>
              <w:t>Make-Whole Call:</w:t>
            </w:r>
          </w:p>
        </w:tc>
        <w:tc>
          <w:tcPr>
            <w:tcW w:w="121" w:type="dxa"/>
            <w:tcBorders/>
            <w:vAlign w:val="bottom"/>
          </w:tcPr>
          <w:p>
            <w:pPr>
              <w:pStyle w:val="TableContents"/>
              <w:bidi w:val="0"/>
              <w:spacing w:before="0" w:after="283"/>
              <w:jc w:val="left"/>
              <w:rPr/>
            </w:pPr>
            <w:r>
              <w:rPr/>
              <w:t>  </w:t>
            </w:r>
          </w:p>
        </w:tc>
        <w:tc>
          <w:tcPr>
            <w:tcW w:w="7096" w:type="dxa"/>
            <w:tcBorders/>
          </w:tcPr>
          <w:p>
            <w:pPr>
              <w:pStyle w:val="TableContents"/>
              <w:bidi w:val="0"/>
              <w:spacing w:before="0" w:after="0"/>
              <w:jc w:val="left"/>
              <w:rPr>
                <w:rFonts w:ascii="Times New Roman" w:hAnsi="Times New Roman"/>
                <w:sz w:val="20"/>
              </w:rPr>
            </w:pPr>
            <w:r>
              <w:rPr>
                <w:rFonts w:ascii="Times New Roman" w:hAnsi="Times New Roman"/>
                <w:sz w:val="20"/>
              </w:rPr>
              <w:t>2028 Notes: Callable at make-whole call of T+10 basis points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2032 Notes: Callable at make-whole call of T+15 basis points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2035 Notes: Callable at make-whole call of T+15 basis points</w:t>
            </w:r>
          </w:p>
        </w:tc>
      </w:tr>
      <w:tr>
        <w:trPr>
          <w:trHeight w:val="120" w:hRule="atLeast"/>
        </w:trPr>
        <w:tc>
          <w:tcPr>
            <w:tcW w:w="2988" w:type="dxa"/>
            <w:tcBorders/>
            <w:vAlign w:val="center"/>
          </w:tcPr>
          <w:p>
            <w:pPr>
              <w:pStyle w:val="TableContents"/>
              <w:bidi w:val="0"/>
              <w:spacing w:before="0" w:after="283"/>
              <w:jc w:val="left"/>
              <w:rPr>
                <w:sz w:val="4"/>
                <w:szCs w:val="4"/>
              </w:rPr>
            </w:pPr>
            <w:r>
              <w:rPr>
                <w:sz w:val="4"/>
                <w:szCs w:val="4"/>
              </w:rPr>
            </w:r>
          </w:p>
        </w:tc>
        <w:tc>
          <w:tcPr>
            <w:tcW w:w="7217" w:type="dxa"/>
            <w:gridSpan w:val="2"/>
            <w:tcBorders/>
            <w:vAlign w:val="center"/>
          </w:tcPr>
          <w:p>
            <w:pPr>
              <w:pStyle w:val="TableContents"/>
              <w:bidi w:val="0"/>
              <w:spacing w:before="0" w:after="283"/>
              <w:jc w:val="left"/>
              <w:rPr>
                <w:sz w:val="4"/>
                <w:szCs w:val="4"/>
              </w:rPr>
            </w:pPr>
            <w:r>
              <w:rPr>
                <w:sz w:val="4"/>
                <w:szCs w:val="4"/>
              </w:rPr>
            </w:r>
          </w:p>
        </w:tc>
      </w:tr>
      <w:tr>
        <w:trPr/>
        <w:tc>
          <w:tcPr>
            <w:tcW w:w="2988" w:type="dxa"/>
            <w:tcBorders/>
          </w:tcPr>
          <w:p>
            <w:pPr>
              <w:pStyle w:val="TableContents"/>
              <w:bidi w:val="0"/>
              <w:spacing w:before="0" w:after="283"/>
              <w:jc w:val="left"/>
              <w:rPr/>
            </w:pPr>
            <w:r>
              <w:rPr/>
              <w:t>CUSIP / ISIN:</w:t>
            </w:r>
          </w:p>
        </w:tc>
        <w:tc>
          <w:tcPr>
            <w:tcW w:w="121" w:type="dxa"/>
            <w:tcBorders/>
            <w:vAlign w:val="bottom"/>
          </w:tcPr>
          <w:p>
            <w:pPr>
              <w:pStyle w:val="TableContents"/>
              <w:bidi w:val="0"/>
              <w:spacing w:before="0" w:after="283"/>
              <w:jc w:val="left"/>
              <w:rPr/>
            </w:pPr>
            <w:r>
              <w:rPr/>
              <w:t>  </w:t>
            </w:r>
          </w:p>
        </w:tc>
        <w:tc>
          <w:tcPr>
            <w:tcW w:w="7096" w:type="dxa"/>
            <w:tcBorders/>
          </w:tcPr>
          <w:p>
            <w:pPr>
              <w:pStyle w:val="TableContents"/>
              <w:bidi w:val="0"/>
              <w:spacing w:before="0" w:after="0"/>
              <w:jc w:val="left"/>
              <w:rPr>
                <w:rFonts w:ascii="Times New Roman" w:hAnsi="Times New Roman"/>
                <w:sz w:val="20"/>
              </w:rPr>
            </w:pPr>
            <w:r>
              <w:rPr>
                <w:rFonts w:ascii="Times New Roman" w:hAnsi="Times New Roman"/>
                <w:sz w:val="20"/>
              </w:rPr>
              <w:t>2028 Notes: 62954H BF4 / US62954HBF47</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2032 Notes: 62954H BG2 / US62954HBG20</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2035 Notes: 62954H BH0 / US62954HBH03</w:t>
            </w:r>
          </w:p>
        </w:tc>
      </w:tr>
      <w:tr>
        <w:trPr>
          <w:trHeight w:val="120" w:hRule="atLeast"/>
        </w:trPr>
        <w:tc>
          <w:tcPr>
            <w:tcW w:w="2988" w:type="dxa"/>
            <w:tcBorders/>
            <w:vAlign w:val="center"/>
          </w:tcPr>
          <w:p>
            <w:pPr>
              <w:pStyle w:val="TableContents"/>
              <w:bidi w:val="0"/>
              <w:spacing w:before="0" w:after="283"/>
              <w:jc w:val="left"/>
              <w:rPr>
                <w:sz w:val="4"/>
                <w:szCs w:val="4"/>
              </w:rPr>
            </w:pPr>
            <w:r>
              <w:rPr>
                <w:sz w:val="4"/>
                <w:szCs w:val="4"/>
              </w:rPr>
            </w:r>
          </w:p>
        </w:tc>
        <w:tc>
          <w:tcPr>
            <w:tcW w:w="7217" w:type="dxa"/>
            <w:gridSpan w:val="2"/>
            <w:tcBorders/>
            <w:vAlign w:val="center"/>
          </w:tcPr>
          <w:p>
            <w:pPr>
              <w:pStyle w:val="TableContents"/>
              <w:bidi w:val="0"/>
              <w:spacing w:before="0" w:after="283"/>
              <w:jc w:val="left"/>
              <w:rPr>
                <w:sz w:val="4"/>
                <w:szCs w:val="4"/>
              </w:rPr>
            </w:pPr>
            <w:r>
              <w:rPr>
                <w:sz w:val="4"/>
                <w:szCs w:val="4"/>
              </w:rPr>
            </w:r>
          </w:p>
        </w:tc>
      </w:tr>
      <w:tr>
        <w:trPr/>
        <w:tc>
          <w:tcPr>
            <w:tcW w:w="2988" w:type="dxa"/>
            <w:tcBorders/>
          </w:tcPr>
          <w:p>
            <w:pPr>
              <w:pStyle w:val="TableContents"/>
              <w:bidi w:val="0"/>
              <w:spacing w:before="0" w:after="283"/>
              <w:jc w:val="left"/>
              <w:rPr/>
            </w:pPr>
            <w:r>
              <w:rPr/>
              <w:t>Joint Book-Running Managers:</w:t>
            </w:r>
          </w:p>
        </w:tc>
        <w:tc>
          <w:tcPr>
            <w:tcW w:w="121" w:type="dxa"/>
            <w:tcBorders/>
            <w:vAlign w:val="bottom"/>
          </w:tcPr>
          <w:p>
            <w:pPr>
              <w:pStyle w:val="TableContents"/>
              <w:bidi w:val="0"/>
              <w:spacing w:before="0" w:after="283"/>
              <w:jc w:val="left"/>
              <w:rPr/>
            </w:pPr>
            <w:r>
              <w:rPr/>
              <w:t>  </w:t>
            </w:r>
          </w:p>
        </w:tc>
        <w:tc>
          <w:tcPr>
            <w:tcW w:w="7096" w:type="dxa"/>
            <w:tcBorders/>
          </w:tcPr>
          <w:p>
            <w:pPr>
              <w:pStyle w:val="TableContents"/>
              <w:bidi w:val="0"/>
              <w:spacing w:before="0" w:after="0"/>
              <w:jc w:val="left"/>
              <w:rPr>
                <w:rFonts w:ascii="Times New Roman" w:hAnsi="Times New Roman"/>
                <w:sz w:val="20"/>
              </w:rPr>
            </w:pPr>
            <w:r>
              <w:rPr>
                <w:rFonts w:ascii="Times New Roman" w:hAnsi="Times New Roman"/>
                <w:sz w:val="20"/>
              </w:rPr>
              <w:t>Barclays Capital Inc.</w:t>
            </w:r>
          </w:p>
          <w:p>
            <w:pPr>
              <w:pStyle w:val="TableContents"/>
              <w:bidi w:val="0"/>
              <w:spacing w:before="0" w:after="0"/>
              <w:jc w:val="left"/>
              <w:rPr>
                <w:rFonts w:ascii="Times New Roman" w:hAnsi="Times New Roman"/>
                <w:sz w:val="20"/>
              </w:rPr>
            </w:pPr>
            <w:r>
              <w:rPr>
                <w:rFonts w:ascii="Times New Roman" w:hAnsi="Times New Roman"/>
                <w:sz w:val="20"/>
              </w:rPr>
              <w:t>Goldman Sachs &amp; Co. LLC</w:t>
            </w:r>
          </w:p>
          <w:p>
            <w:pPr>
              <w:pStyle w:val="TableContents"/>
              <w:bidi w:val="0"/>
              <w:spacing w:before="0" w:after="0"/>
              <w:jc w:val="left"/>
              <w:rPr>
                <w:rFonts w:ascii="Times New Roman" w:hAnsi="Times New Roman"/>
                <w:sz w:val="20"/>
              </w:rPr>
            </w:pPr>
            <w:r>
              <w:rPr>
                <w:rFonts w:ascii="Times New Roman" w:hAnsi="Times New Roman"/>
                <w:sz w:val="20"/>
              </w:rPr>
              <w:t>J.P. Morgan Securities LLC</w:t>
            </w:r>
          </w:p>
          <w:p>
            <w:pPr>
              <w:pStyle w:val="TableContents"/>
              <w:bidi w:val="0"/>
              <w:spacing w:before="0" w:after="0"/>
              <w:jc w:val="left"/>
              <w:rPr>
                <w:rFonts w:ascii="Times New Roman" w:hAnsi="Times New Roman"/>
                <w:sz w:val="20"/>
              </w:rPr>
            </w:pPr>
            <w:r>
              <w:rPr>
                <w:rFonts w:ascii="Times New Roman" w:hAnsi="Times New Roman"/>
                <w:sz w:val="20"/>
              </w:rPr>
              <w:t>PNC Capital Markets LLC</w:t>
            </w:r>
          </w:p>
          <w:p>
            <w:pPr>
              <w:pStyle w:val="TableContents"/>
              <w:bidi w:val="0"/>
              <w:spacing w:before="0" w:after="0"/>
              <w:jc w:val="left"/>
              <w:rPr>
                <w:rFonts w:ascii="Times New Roman" w:hAnsi="Times New Roman"/>
                <w:sz w:val="20"/>
              </w:rPr>
            </w:pPr>
            <w:r>
              <w:rPr>
                <w:rFonts w:ascii="Times New Roman" w:hAnsi="Times New Roman"/>
                <w:sz w:val="20"/>
              </w:rPr>
              <w:t>UBS Securities LLC</w:t>
            </w:r>
          </w:p>
          <w:p>
            <w:pPr>
              <w:pStyle w:val="TableContents"/>
              <w:bidi w:val="0"/>
              <w:spacing w:before="0" w:after="0"/>
              <w:jc w:val="left"/>
              <w:rPr>
                <w:rFonts w:ascii="Times New Roman" w:hAnsi="Times New Roman"/>
                <w:sz w:val="20"/>
              </w:rPr>
            </w:pPr>
            <w:r>
              <w:rPr>
                <w:rFonts w:ascii="Times New Roman" w:hAnsi="Times New Roman"/>
                <w:sz w:val="20"/>
              </w:rPr>
              <w:t>BofA Securities, Inc.</w:t>
            </w:r>
          </w:p>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p>
            <w:pPr>
              <w:pStyle w:val="TableContents"/>
              <w:bidi w:val="0"/>
              <w:spacing w:before="0" w:after="0"/>
              <w:jc w:val="left"/>
              <w:rPr>
                <w:rFonts w:ascii="Times New Roman" w:hAnsi="Times New Roman"/>
                <w:sz w:val="20"/>
              </w:rPr>
            </w:pPr>
            <w:r>
              <w:rPr>
                <w:rFonts w:ascii="Times New Roman" w:hAnsi="Times New Roman"/>
                <w:sz w:val="20"/>
              </w:rPr>
              <w:t>DBS Bank Ltd.</w:t>
            </w:r>
          </w:p>
          <w:p>
            <w:pPr>
              <w:pStyle w:val="TableContents"/>
              <w:bidi w:val="0"/>
              <w:spacing w:before="0" w:after="0"/>
              <w:jc w:val="left"/>
              <w:rPr>
                <w:rFonts w:ascii="Times New Roman" w:hAnsi="Times New Roman"/>
                <w:sz w:val="20"/>
              </w:rPr>
            </w:pPr>
            <w:r>
              <w:rPr>
                <w:rFonts w:ascii="Times New Roman" w:hAnsi="Times New Roman"/>
                <w:sz w:val="20"/>
              </w:rPr>
              <w:t>Deutsche Bank Securities Inc.</w:t>
            </w:r>
          </w:p>
          <w:p>
            <w:pPr>
              <w:pStyle w:val="TableContents"/>
              <w:bidi w:val="0"/>
              <w:spacing w:before="0" w:after="0"/>
              <w:jc w:val="left"/>
              <w:rPr>
                <w:rFonts w:ascii="Times New Roman" w:hAnsi="Times New Roman"/>
                <w:sz w:val="20"/>
              </w:rPr>
            </w:pPr>
            <w:r>
              <w:rPr>
                <w:rFonts w:ascii="Times New Roman" w:hAnsi="Times New Roman"/>
                <w:sz w:val="20"/>
              </w:rPr>
              <w:t>Morgan Stanley &amp; Co. LLC</w:t>
            </w:r>
          </w:p>
          <w:p>
            <w:pPr>
              <w:pStyle w:val="TableContents"/>
              <w:bidi w:val="0"/>
              <w:spacing w:before="0" w:after="0"/>
              <w:jc w:val="left"/>
              <w:rPr>
                <w:rFonts w:ascii="Times New Roman" w:hAnsi="Times New Roman"/>
                <w:sz w:val="20"/>
              </w:rPr>
            </w:pPr>
            <w:r>
              <w:rPr>
                <w:rFonts w:ascii="Times New Roman" w:hAnsi="Times New Roman"/>
                <w:sz w:val="20"/>
              </w:rPr>
              <w:t>Rabo Securities USA, Inc.</w:t>
            </w:r>
          </w:p>
          <w:p>
            <w:pPr>
              <w:pStyle w:val="TableContents"/>
              <w:bidi w:val="0"/>
              <w:spacing w:before="0" w:after="20"/>
              <w:jc w:val="left"/>
              <w:rPr>
                <w:rFonts w:ascii="Times New Roman" w:hAnsi="Times New Roman"/>
                <w:sz w:val="20"/>
              </w:rPr>
            </w:pPr>
            <w:r>
              <w:rPr>
                <w:rFonts w:ascii="Times New Roman" w:hAnsi="Times New Roman"/>
                <w:sz w:val="20"/>
              </w:rPr>
              <w:t>SMBC Nikko Securities America, Inc.</w:t>
            </w:r>
          </w:p>
        </w:tc>
      </w:tr>
      <w:tr>
        <w:trPr>
          <w:trHeight w:val="120" w:hRule="atLeast"/>
        </w:trPr>
        <w:tc>
          <w:tcPr>
            <w:tcW w:w="2988" w:type="dxa"/>
            <w:tcBorders/>
            <w:vAlign w:val="center"/>
          </w:tcPr>
          <w:p>
            <w:pPr>
              <w:pStyle w:val="TableContents"/>
              <w:bidi w:val="0"/>
              <w:spacing w:before="0" w:after="283"/>
              <w:jc w:val="left"/>
              <w:rPr>
                <w:sz w:val="4"/>
                <w:szCs w:val="4"/>
              </w:rPr>
            </w:pPr>
            <w:r>
              <w:rPr>
                <w:sz w:val="4"/>
                <w:szCs w:val="4"/>
              </w:rPr>
            </w:r>
          </w:p>
        </w:tc>
        <w:tc>
          <w:tcPr>
            <w:tcW w:w="7217" w:type="dxa"/>
            <w:gridSpan w:val="2"/>
            <w:tcBorders/>
            <w:vAlign w:val="center"/>
          </w:tcPr>
          <w:p>
            <w:pPr>
              <w:pStyle w:val="TableContents"/>
              <w:bidi w:val="0"/>
              <w:spacing w:before="0" w:after="283"/>
              <w:jc w:val="left"/>
              <w:rPr>
                <w:sz w:val="4"/>
                <w:szCs w:val="4"/>
              </w:rPr>
            </w:pPr>
            <w:r>
              <w:rPr>
                <w:sz w:val="4"/>
                <w:szCs w:val="4"/>
              </w:rPr>
            </w:r>
          </w:p>
        </w:tc>
      </w:tr>
      <w:tr>
        <w:trPr/>
        <w:tc>
          <w:tcPr>
            <w:tcW w:w="2988" w:type="dxa"/>
            <w:tcBorders/>
          </w:tcPr>
          <w:p>
            <w:pPr>
              <w:pStyle w:val="TableContents"/>
              <w:bidi w:val="0"/>
              <w:spacing w:before="0" w:after="283"/>
              <w:jc w:val="left"/>
              <w:rPr/>
            </w:pPr>
            <w:r>
              <w:rPr/>
              <w:t>Trade Date:</w:t>
            </w:r>
          </w:p>
        </w:tc>
        <w:tc>
          <w:tcPr>
            <w:tcW w:w="121" w:type="dxa"/>
            <w:tcBorders/>
            <w:vAlign w:val="bottom"/>
          </w:tcPr>
          <w:p>
            <w:pPr>
              <w:pStyle w:val="TableContents"/>
              <w:bidi w:val="0"/>
              <w:spacing w:before="0" w:after="283"/>
              <w:jc w:val="left"/>
              <w:rPr/>
            </w:pPr>
            <w:r>
              <w:rPr/>
              <w:t>  </w:t>
            </w:r>
          </w:p>
        </w:tc>
        <w:tc>
          <w:tcPr>
            <w:tcW w:w="7096" w:type="dxa"/>
            <w:tcBorders/>
          </w:tcPr>
          <w:p>
            <w:pPr>
              <w:pStyle w:val="TableContents"/>
              <w:bidi w:val="0"/>
              <w:spacing w:before="0" w:after="283"/>
              <w:jc w:val="left"/>
              <w:rPr/>
            </w:pPr>
            <w:r>
              <w:rPr/>
              <w:t>August 12, 2025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42"/>
        <w:gridCol w:w="122"/>
        <w:gridCol w:w="7141"/>
      </w:tblGrid>
      <w:tr>
        <w:trPr/>
        <w:tc>
          <w:tcPr>
            <w:tcW w:w="294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141" w:type="dxa"/>
            <w:tcBorders/>
            <w:vAlign w:val="center"/>
          </w:tcPr>
          <w:p>
            <w:pPr>
              <w:pStyle w:val="TableContents"/>
              <w:bidi w:val="0"/>
              <w:spacing w:before="0" w:after="283"/>
              <w:jc w:val="left"/>
              <w:rPr>
                <w:sz w:val="4"/>
                <w:szCs w:val="4"/>
              </w:rPr>
            </w:pPr>
            <w:r>
              <w:rPr>
                <w:sz w:val="4"/>
                <w:szCs w:val="4"/>
              </w:rPr>
            </w:r>
          </w:p>
        </w:tc>
      </w:tr>
      <w:tr>
        <w:trPr/>
        <w:tc>
          <w:tcPr>
            <w:tcW w:w="2942" w:type="dxa"/>
            <w:tcBorders/>
          </w:tcPr>
          <w:p>
            <w:pPr>
              <w:pStyle w:val="TableContents"/>
              <w:bidi w:val="0"/>
              <w:spacing w:before="0" w:after="283"/>
              <w:jc w:val="left"/>
              <w:rPr/>
            </w:pPr>
            <w:r>
              <w:rPr/>
              <w:t>Settlement Date**:</w:t>
            </w:r>
          </w:p>
        </w:tc>
        <w:tc>
          <w:tcPr>
            <w:tcW w:w="122"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283"/>
              <w:jc w:val="left"/>
              <w:rPr/>
            </w:pPr>
            <w:r>
              <w:rPr/>
              <w:t>August 19, 2025 (T+5)</w:t>
            </w:r>
          </w:p>
        </w:tc>
      </w:tr>
      <w:tr>
        <w:trPr>
          <w:trHeight w:val="120" w:hRule="atLeast"/>
        </w:trPr>
        <w:tc>
          <w:tcPr>
            <w:tcW w:w="2942" w:type="dxa"/>
            <w:tcBorders/>
            <w:vAlign w:val="center"/>
          </w:tcPr>
          <w:p>
            <w:pPr>
              <w:pStyle w:val="TableContents"/>
              <w:bidi w:val="0"/>
              <w:spacing w:before="0" w:after="283"/>
              <w:jc w:val="left"/>
              <w:rPr>
                <w:sz w:val="4"/>
                <w:szCs w:val="4"/>
              </w:rPr>
            </w:pPr>
            <w:r>
              <w:rPr>
                <w:sz w:val="4"/>
                <w:szCs w:val="4"/>
              </w:rPr>
            </w:r>
          </w:p>
        </w:tc>
        <w:tc>
          <w:tcPr>
            <w:tcW w:w="7263" w:type="dxa"/>
            <w:gridSpan w:val="2"/>
            <w:tcBorders/>
            <w:vAlign w:val="center"/>
          </w:tcPr>
          <w:p>
            <w:pPr>
              <w:pStyle w:val="TableContents"/>
              <w:bidi w:val="0"/>
              <w:spacing w:before="0" w:after="283"/>
              <w:jc w:val="left"/>
              <w:rPr>
                <w:sz w:val="4"/>
                <w:szCs w:val="4"/>
              </w:rPr>
            </w:pPr>
            <w:r>
              <w:rPr>
                <w:sz w:val="4"/>
                <w:szCs w:val="4"/>
              </w:rPr>
            </w:r>
          </w:p>
        </w:tc>
      </w:tr>
      <w:tr>
        <w:trPr/>
        <w:tc>
          <w:tcPr>
            <w:tcW w:w="2942" w:type="dxa"/>
            <w:tcBorders/>
          </w:tcPr>
          <w:p>
            <w:pPr>
              <w:pStyle w:val="TableContents"/>
              <w:bidi w:val="0"/>
              <w:spacing w:before="0" w:after="283"/>
              <w:jc w:val="left"/>
              <w:rPr/>
            </w:pPr>
            <w:r>
              <w:rPr/>
              <w:t>Distribution:</w:t>
            </w:r>
          </w:p>
        </w:tc>
        <w:tc>
          <w:tcPr>
            <w:tcW w:w="122"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283"/>
              <w:jc w:val="left"/>
              <w:rPr/>
            </w:pPr>
            <w:r>
              <w:rPr/>
              <w:t>SEC-registered</w:t>
            </w:r>
          </w:p>
        </w:tc>
      </w:tr>
      <w:tr>
        <w:trPr>
          <w:trHeight w:val="120" w:hRule="atLeast"/>
        </w:trPr>
        <w:tc>
          <w:tcPr>
            <w:tcW w:w="2942" w:type="dxa"/>
            <w:tcBorders/>
            <w:vAlign w:val="center"/>
          </w:tcPr>
          <w:p>
            <w:pPr>
              <w:pStyle w:val="TableContents"/>
              <w:bidi w:val="0"/>
              <w:spacing w:before="0" w:after="283"/>
              <w:jc w:val="left"/>
              <w:rPr>
                <w:sz w:val="4"/>
                <w:szCs w:val="4"/>
              </w:rPr>
            </w:pPr>
            <w:r>
              <w:rPr>
                <w:sz w:val="4"/>
                <w:szCs w:val="4"/>
              </w:rPr>
            </w:r>
          </w:p>
        </w:tc>
        <w:tc>
          <w:tcPr>
            <w:tcW w:w="7263" w:type="dxa"/>
            <w:gridSpan w:val="2"/>
            <w:tcBorders/>
            <w:vAlign w:val="center"/>
          </w:tcPr>
          <w:p>
            <w:pPr>
              <w:pStyle w:val="TableContents"/>
              <w:bidi w:val="0"/>
              <w:spacing w:before="0" w:after="283"/>
              <w:jc w:val="left"/>
              <w:rPr>
                <w:sz w:val="4"/>
                <w:szCs w:val="4"/>
              </w:rPr>
            </w:pPr>
            <w:r>
              <w:rPr>
                <w:sz w:val="4"/>
                <w:szCs w:val="4"/>
              </w:rPr>
            </w:r>
          </w:p>
        </w:tc>
      </w:tr>
      <w:tr>
        <w:trPr/>
        <w:tc>
          <w:tcPr>
            <w:tcW w:w="2942" w:type="dxa"/>
            <w:tcBorders/>
          </w:tcPr>
          <w:p>
            <w:pPr>
              <w:pStyle w:val="TableContents"/>
              <w:bidi w:val="0"/>
              <w:spacing w:before="0" w:after="283"/>
              <w:jc w:val="left"/>
              <w:rPr/>
            </w:pPr>
            <w:r>
              <w:rPr/>
              <w:t>Governing Law:</w:t>
            </w:r>
          </w:p>
        </w:tc>
        <w:tc>
          <w:tcPr>
            <w:tcW w:w="122"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283"/>
              <w:jc w:val="left"/>
              <w:rPr/>
            </w:pPr>
            <w:r>
              <w:rPr/>
              <w:t>State of New York</w:t>
            </w:r>
          </w:p>
        </w:tc>
      </w:tr>
    </w:tbl>
    <w:p>
      <w:pPr>
        <w:pStyle w:val="TextBody"/>
        <w:bidi w:val="0"/>
        <w:spacing w:before="240" w:after="0"/>
        <w:jc w:val="center"/>
        <w:rPr>
          <w:rFonts w:ascii="Times New Roman" w:hAnsi="Times New Roman"/>
          <w:sz w:val="20"/>
        </w:rPr>
      </w:pPr>
      <w:r>
        <w:rPr>
          <w:rFonts w:ascii="Times New Roman" w:hAnsi="Times New Roman"/>
          <w:sz w:val="20"/>
        </w:rPr>
        <w:t xml:space="preserve">* * * *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 These securities ratings are expected to be provided by Moodys, S&amp;P and Fitch. None of these ratings is a recommendation to buy, sell or hold these securities. Each rating may be subject to revision or withdrawal at any time, and should be evaluated independently of any other rating.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 It is expected that delivery of the notes will be made against payment therefor on or about August 19, 2025, which will be the fifth business day after the date of the prospectus supplement. Under Rule 15c6-1 of the Securities and Exchange Commission (the SEC) under the Securities Exchange Act of 1934, as amended, trades in the secondary market generally are required to settle in one business day, unless the parties to a trade expressly agree otherwise. Accordingly, purchasers who wish to trade the notes on any day prior to the business day before the Settlement Date will be required, by virtue of the fact that the notes will settle in five business days, to specify an alternative settlement cycle at the time of any such trade to prevent a failed settlement. Such purchasers should consult their own advisors in this regard.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communication is confidential and is intended for the sole use of the person to whom it is provided by the sender. This communication does not constitute an offer to sell or the solicitation of an offer to buy any securities in any jurisdiction to any person to whom it is unlawful to make such offer or solicitation in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The Issuers and Guarantor have filed a registration statement (including a prospectus) with the SEC for the offering to which this communication relates. Before you invest, you should read the prospectus in that registration statement and other documents that have been filed with the SEC that are incorporated by reference in the prospectus for more complete information about the Issuers and this offering. You may get these documents for free by visiting EDGAR on the SEC website at www.sec.gov. Alternatively, the Issuers, the Guarantor, any underwriter or any dealer participating in the offering will arrange to send you the prospectus if you request it by calling Barclays Capital Inc. at 1-888-603-5847, Goldman Sachs &amp; Co. LLC at 1-866-471-2526, J.P. Morgan Securities LLC at 1-212-834-4533, PNC Capital Markets LLC at 1-855-881-0697 or UBS Securities LLC at 1-833-481-0269. </w:t>
      </w:r>
    </w:p>
    <w:p>
      <w:pPr>
        <w:pStyle w:val="TextBody"/>
        <w:bidi w:val="0"/>
        <w:spacing w:before="240" w:after="0"/>
        <w:jc w:val="left"/>
        <w:rPr>
          <w:rFonts w:ascii="Times New Roman" w:hAnsi="Times New Roman"/>
          <w:sz w:val="20"/>
        </w:rPr>
      </w:pPr>
      <w:r>
        <w:rPr>
          <w:rFonts w:ascii="Times New Roman" w:hAnsi="Times New Roman"/>
          <w:sz w:val="20"/>
        </w:rPr>
        <w:t xml:space="preserve">No prospectus is required, in any member state of the European Economic Area, in accordance with Regulation (EU) 2017 / 1129 or, in the United Kingdom, in accordance with Regulation (EU) 2017 / 1129 as it forms part of domestic law by virtue of the European Union (Withdrawal) Act 2018. </w:t>
      </w:r>
    </w:p>
    <w:p>
      <w:pPr>
        <w:pStyle w:val="TextBody"/>
        <w:bidi w:val="0"/>
        <w:spacing w:before="240" w:after="0"/>
        <w:jc w:val="left"/>
        <w:rPr>
          <w:rFonts w:ascii="Times New Roman" w:hAnsi="Times New Roman"/>
          <w:i/>
          <w:sz w:val="20"/>
        </w:rPr>
      </w:pPr>
      <w:r>
        <w:rPr>
          <w:rFonts w:ascii="Times New Roman" w:hAnsi="Times New Roman"/>
          <w:i/>
          <w:sz w:val="20"/>
        </w:rPr>
        <w:t xml:space="preserve">Any legends, disclaimers or other notices that may appear below are not applicable to this communication and should be disregarded. Such legends, disclaimers or other notices have been automatically generated as a result of this communication having been sent via Bloomberg or another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1172</Words>
  <Characters>5881</Characters>
  <CharactersWithSpaces>7024</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FWP</dc:title>
</cp:coreProperties>
</file>