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b/>
          <w:sz w:val="20"/>
        </w:rPr>
      </w:pPr>
      <w:bookmarkStart w:id="0" w:name="d184457dfwp.htm"/>
      <w:bookmarkStart w:id="1" w:name="ksd184457dfwp"/>
      <w:bookmarkEnd w:id="0"/>
      <w:bookmarkEnd w:id="1"/>
      <w:r>
        <w:rPr>
          <w:rFonts w:ascii="Times New Roman" w:hAnsi="Times New Roman"/>
          <w:b/>
          <w:sz w:val="20"/>
        </w:rPr>
        <w:t xml:space="preserve">Filed Pursuant to Rule 433 </w:t>
      </w:r>
    </w:p>
    <w:p>
      <w:pPr>
        <w:pStyle w:val="TextBody"/>
        <w:spacing w:before="0" w:after="0"/>
        <w:jc w:val="right"/>
        <w:rPr>
          <w:rFonts w:ascii="Times New Roman" w:hAnsi="Times New Roman"/>
          <w:b/>
          <w:sz w:val="20"/>
        </w:rPr>
      </w:pPr>
      <w:r>
        <w:rPr>
          <w:rFonts w:ascii="Times New Roman" w:hAnsi="Times New Roman"/>
          <w:b/>
          <w:sz w:val="20"/>
        </w:rPr>
        <w:t xml:space="preserve">Registration No. 333-263733 </w:t>
      </w:r>
    </w:p>
    <w:p>
      <w:pPr>
        <w:pStyle w:val="TextBody"/>
        <w:spacing w:before="0" w:after="0"/>
        <w:jc w:val="right"/>
        <w:rPr>
          <w:rFonts w:ascii="Times New Roman" w:hAnsi="Times New Roman"/>
          <w:b/>
          <w:sz w:val="20"/>
        </w:rPr>
      </w:pPr>
      <w:r>
        <w:rPr>
          <w:rFonts w:ascii="Times New Roman" w:hAnsi="Times New Roman"/>
          <w:b/>
          <w:sz w:val="20"/>
        </w:rPr>
        <w:t xml:space="preserve">Issuer Free Writing Prospectus dated May 12, 2022 </w:t>
      </w:r>
    </w:p>
    <w:p>
      <w:pPr>
        <w:pStyle w:val="TextBody"/>
        <w:spacing w:before="0" w:after="0"/>
        <w:jc w:val="right"/>
        <w:rPr>
          <w:rFonts w:ascii="Times New Roman" w:hAnsi="Times New Roman"/>
          <w:b/>
          <w:sz w:val="20"/>
        </w:rPr>
      </w:pPr>
      <w:r>
        <w:rPr>
          <w:rFonts w:ascii="Times New Roman" w:hAnsi="Times New Roman"/>
          <w:b/>
          <w:sz w:val="20"/>
        </w:rPr>
        <w:t xml:space="preserve">Relating to Preliminary Prospectus Supplement dated May 12, 2022 </w:t>
      </w:r>
    </w:p>
    <w:p>
      <w:pPr>
        <w:pStyle w:val="TextBody"/>
        <w:spacing w:before="240" w:after="0"/>
        <w:jc w:val="center"/>
        <w:rPr>
          <w:rFonts w:ascii="Times New Roman" w:hAnsi="Times New Roman"/>
          <w:b/>
          <w:sz w:val="20"/>
        </w:rPr>
      </w:pPr>
      <w:r>
        <w:rPr>
          <w:rFonts w:ascii="Times New Roman" w:hAnsi="Times New Roman"/>
          <w:b/>
          <w:sz w:val="20"/>
        </w:rPr>
        <w:t xml:space="preserve">$1,500,000,000 </w:t>
      </w:r>
    </w:p>
    <w:p>
      <w:pPr>
        <w:pStyle w:val="TextBody"/>
        <w:spacing w:before="120" w:after="0"/>
        <w:jc w:val="center"/>
        <w:rPr>
          <w:rFonts w:ascii="Times New Roman" w:hAnsi="Times New Roman"/>
          <w:b/>
          <w:sz w:val="20"/>
        </w:rPr>
      </w:pPr>
      <w:r>
        <w:rPr>
          <w:rFonts w:ascii="Times New Roman" w:hAnsi="Times New Roman"/>
          <w:b/>
          <w:sz w:val="20"/>
        </w:rPr>
        <w:t xml:space="preserve">NXP B.V. </w:t>
      </w:r>
    </w:p>
    <w:p>
      <w:pPr>
        <w:pStyle w:val="TextBody"/>
        <w:spacing w:before="0" w:after="0"/>
        <w:jc w:val="center"/>
        <w:rPr>
          <w:rFonts w:ascii="Times New Roman" w:hAnsi="Times New Roman"/>
          <w:b/>
          <w:sz w:val="20"/>
        </w:rPr>
      </w:pPr>
      <w:r>
        <w:rPr>
          <w:rFonts w:ascii="Times New Roman" w:hAnsi="Times New Roman"/>
          <w:b/>
          <w:sz w:val="20"/>
        </w:rPr>
        <w:t xml:space="preserve">NXP FUNDING LLC </w:t>
      </w:r>
    </w:p>
    <w:p>
      <w:pPr>
        <w:pStyle w:val="TextBody"/>
        <w:spacing w:before="0" w:after="0"/>
        <w:jc w:val="center"/>
        <w:rPr>
          <w:rFonts w:ascii="Times New Roman" w:hAnsi="Times New Roman"/>
          <w:b/>
          <w:sz w:val="20"/>
        </w:rPr>
      </w:pPr>
      <w:r>
        <w:rPr>
          <w:rFonts w:ascii="Times New Roman" w:hAnsi="Times New Roman"/>
          <w:b/>
          <w:sz w:val="20"/>
        </w:rPr>
        <w:t xml:space="preserve">NXP USA, INC. </w:t>
      </w:r>
    </w:p>
    <w:p>
      <w:pPr>
        <w:pStyle w:val="TextBody"/>
        <w:spacing w:before="120" w:after="0"/>
        <w:jc w:val="center"/>
        <w:rPr>
          <w:rFonts w:ascii="Times New Roman" w:hAnsi="Times New Roman"/>
          <w:b/>
          <w:sz w:val="20"/>
        </w:rPr>
      </w:pPr>
      <w:r>
        <w:rPr>
          <w:rFonts w:ascii="Times New Roman" w:hAnsi="Times New Roman"/>
          <w:b/>
          <w:sz w:val="20"/>
        </w:rPr>
        <w:t xml:space="preserve">May 12, 2022 </w:t>
      </w:r>
    </w:p>
    <w:p>
      <w:pPr>
        <w:pStyle w:val="TextBody"/>
        <w:spacing w:before="120" w:after="0"/>
        <w:jc w:val="center"/>
        <w:rPr>
          <w:rFonts w:ascii="Times New Roman" w:hAnsi="Times New Roman"/>
          <w:b/>
          <w:sz w:val="20"/>
        </w:rPr>
      </w:pPr>
      <w:r>
        <w:rPr>
          <w:rFonts w:ascii="Times New Roman" w:hAnsi="Times New Roman"/>
          <w:b/>
          <w:sz w:val="20"/>
        </w:rPr>
        <w:t xml:space="preserve">$500,000,000 4.400% SENIOR NOTES DUE 2027 </w:t>
      </w:r>
    </w:p>
    <w:p>
      <w:pPr>
        <w:pStyle w:val="TextBody"/>
        <w:spacing w:before="120" w:after="0"/>
        <w:jc w:val="center"/>
        <w:rPr>
          <w:rFonts w:ascii="Times New Roman" w:hAnsi="Times New Roman"/>
          <w:b/>
          <w:sz w:val="20"/>
        </w:rPr>
      </w:pPr>
      <w:r>
        <w:rPr>
          <w:rFonts w:ascii="Times New Roman" w:hAnsi="Times New Roman"/>
          <w:b/>
          <w:sz w:val="20"/>
        </w:rPr>
        <w:t xml:space="preserve">$1,000,000,000 5.000% SENIOR NOTES DUE 2033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86"/>
        <w:gridCol w:w="123"/>
        <w:gridCol w:w="7196"/>
      </w:tblGrid>
      <w:tr>
        <w:trPr/>
        <w:tc>
          <w:tcPr>
            <w:tcW w:w="288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7196" w:type="dxa"/>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20"/>
              </w:rPr>
            </w:pPr>
            <w:r>
              <w:rPr>
                <w:rFonts w:ascii="Times New Roman" w:hAnsi="Times New Roman"/>
                <w:sz w:val="20"/>
              </w:rPr>
              <w:t>Issuers:</w:t>
            </w:r>
          </w:p>
        </w:tc>
        <w:tc>
          <w:tcPr>
            <w:tcW w:w="123" w:type="dxa"/>
            <w:tcBorders/>
            <w:shd w:fill="auto" w:val="clear"/>
            <w:vAlign w:val="bottom"/>
          </w:tcPr>
          <w:p>
            <w:pPr>
              <w:pStyle w:val="TableContents"/>
              <w:spacing w:before="0" w:after="283"/>
              <w:rPr/>
            </w:pPr>
            <w:r>
              <w:rPr/>
              <w:t>  </w:t>
            </w:r>
          </w:p>
        </w:tc>
        <w:tc>
          <w:tcPr>
            <w:tcW w:w="7196" w:type="dxa"/>
            <w:tcBorders/>
            <w:shd w:fill="auto" w:val="clear"/>
            <w:vAlign w:val="bottom"/>
          </w:tcPr>
          <w:p>
            <w:pPr>
              <w:pStyle w:val="TableContents"/>
              <w:spacing w:before="0" w:after="283"/>
              <w:rPr/>
            </w:pPr>
            <w:r>
              <w:rPr/>
              <w:t>NXP B.V., NXP Funding LLC and NXP USA, Inc. (collectively, the Issuers or we)</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7319"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20"/>
              </w:rPr>
            </w:pPr>
            <w:r>
              <w:rPr>
                <w:rFonts w:ascii="Times New Roman" w:hAnsi="Times New Roman"/>
                <w:sz w:val="20"/>
              </w:rPr>
              <w:t>Notes:</w:t>
            </w:r>
          </w:p>
        </w:tc>
        <w:tc>
          <w:tcPr>
            <w:tcW w:w="123" w:type="dxa"/>
            <w:tcBorders/>
            <w:shd w:fill="auto" w:val="clear"/>
            <w:vAlign w:val="bottom"/>
          </w:tcPr>
          <w:p>
            <w:pPr>
              <w:pStyle w:val="TableContents"/>
              <w:spacing w:before="0" w:after="283"/>
              <w:rPr/>
            </w:pPr>
            <w:r>
              <w:rPr/>
              <w:t>  </w:t>
            </w:r>
          </w:p>
        </w:tc>
        <w:tc>
          <w:tcPr>
            <w:tcW w:w="719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$500,000,000 4.400% Senior Notes due 2027 (the 2027 Notes)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$1,000,000,000 5.000% Senior Notes due 2033 (the 2033 Notes)</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7319"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20"/>
              </w:rPr>
            </w:pPr>
            <w:r>
              <w:rPr>
                <w:rFonts w:ascii="Times New Roman" w:hAnsi="Times New Roman"/>
                <w:sz w:val="20"/>
              </w:rPr>
              <w:t>Guarantor:</w:t>
            </w:r>
          </w:p>
        </w:tc>
        <w:tc>
          <w:tcPr>
            <w:tcW w:w="123" w:type="dxa"/>
            <w:tcBorders/>
            <w:shd w:fill="auto" w:val="clear"/>
            <w:vAlign w:val="bottom"/>
          </w:tcPr>
          <w:p>
            <w:pPr>
              <w:pStyle w:val="TableContents"/>
              <w:spacing w:before="0" w:after="283"/>
              <w:rPr/>
            </w:pPr>
            <w:r>
              <w:rPr/>
              <w:t>  </w:t>
            </w:r>
          </w:p>
        </w:tc>
        <w:tc>
          <w:tcPr>
            <w:tcW w:w="7196" w:type="dxa"/>
            <w:tcBorders/>
            <w:shd w:fill="auto" w:val="clear"/>
            <w:vAlign w:val="bottom"/>
          </w:tcPr>
          <w:p>
            <w:pPr>
              <w:pStyle w:val="TableContents"/>
              <w:spacing w:before="0" w:after="283"/>
              <w:rPr/>
            </w:pPr>
            <w:r>
              <w:rPr/>
              <w:t>The Notes will be guaranteed by NXP Semiconductors N.V., the holding company of NXP B.V.</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7319"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20"/>
              </w:rPr>
            </w:pPr>
            <w:r>
              <w:rPr>
                <w:rFonts w:ascii="Times New Roman" w:hAnsi="Times New Roman"/>
                <w:sz w:val="20"/>
              </w:rPr>
              <w:t>Principal Amount:</w:t>
            </w:r>
          </w:p>
        </w:tc>
        <w:tc>
          <w:tcPr>
            <w:tcW w:w="123" w:type="dxa"/>
            <w:tcBorders/>
            <w:shd w:fill="auto" w:val="clear"/>
            <w:vAlign w:val="bottom"/>
          </w:tcPr>
          <w:p>
            <w:pPr>
              <w:pStyle w:val="TableContents"/>
              <w:spacing w:before="0" w:after="283"/>
              <w:rPr/>
            </w:pPr>
            <w:r>
              <w:rPr/>
              <w:t>  </w:t>
            </w:r>
          </w:p>
        </w:tc>
        <w:tc>
          <w:tcPr>
            <w:tcW w:w="719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$500,000,000</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2033 Notes: $1,000,000,000</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7319"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20"/>
              </w:rPr>
            </w:pPr>
            <w:r>
              <w:rPr>
                <w:rFonts w:ascii="Times New Roman" w:hAnsi="Times New Roman"/>
                <w:sz w:val="20"/>
              </w:rPr>
              <w:t>Use of Proceeds:</w:t>
            </w:r>
          </w:p>
        </w:tc>
        <w:tc>
          <w:tcPr>
            <w:tcW w:w="123" w:type="dxa"/>
            <w:tcBorders/>
            <w:shd w:fill="auto" w:val="clear"/>
            <w:vAlign w:val="bottom"/>
          </w:tcPr>
          <w:p>
            <w:pPr>
              <w:pStyle w:val="TableContents"/>
              <w:spacing w:before="0" w:after="283"/>
              <w:rPr/>
            </w:pPr>
            <w:r>
              <w:rPr/>
              <w:t>  </w:t>
            </w:r>
          </w:p>
        </w:tc>
        <w:tc>
          <w:tcPr>
            <w:tcW w:w="719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We estimate that the net proceeds to us from this offering, after deducting the Underwriters discounts and commissions payable by us, will be approximately $1,490,615,000.</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We intend to use the net proceeds from the offering of the 2027 Notes, together with all or a portion of the net proceeds of the 2033 Notes to redeem the $900 million aggregate principal amount of the outstanding 4.625% 2023 Notes in accordance with the terms of the indenture governing the 4.625% 2023 Notes, including all premiums, accrued interest and costs and expenses related to the 4.625% 2023 Notes Redemption. Any remaining net proceeds from the 2027 Notes will be temporarily held as cash and other short term securities or used for general corporate purposes, which may include capital expenditures or short-term debt repayment. We intend to allocate an amount equal to the net proceeds of the 2033 Notes to Eligible Green Projects (as defined below). Pending the allocation of an amount equal to the proceeds of the 2033</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019"/>
        <w:gridCol w:w="123"/>
        <w:gridCol w:w="7063"/>
      </w:tblGrid>
      <w:tr>
        <w:trPr/>
        <w:tc>
          <w:tcPr>
            <w:tcW w:w="301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7063" w:type="dxa"/>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283"/>
              <w:rPr/>
            </w:pPr>
            <w:r>
              <w:rPr/>
              <w:t>Notes toward Eligible Green Projects, we expect to temporarily use all or a portion of the net proceeds from the offering of the 2033 Notes to help fund the redemption of the 4.625% 2023 Notes. As of April 3, 2022, $900 million aggregate principal amount of the 4.625% 2023 Notes was outstanding. The 4.625% 2023 Notes bear interest at a rate per annum of 4.625% and mature on June 2, 2023. We are under no obligation to redeem the 4.625% 2023 Notes prior to their maturity.</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Stated Maturity Date:</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June 1, 2027</w:t>
            </w:r>
          </w:p>
          <w:p>
            <w:pPr>
              <w:pStyle w:val="TableContents"/>
              <w:spacing w:before="0" w:after="20"/>
              <w:rPr>
                <w:rFonts w:ascii="Times New Roman" w:hAnsi="Times New Roman"/>
                <w:sz w:val="20"/>
              </w:rPr>
            </w:pPr>
            <w:r>
              <w:rPr>
                <w:rFonts w:ascii="Times New Roman" w:hAnsi="Times New Roman"/>
                <w:sz w:val="20"/>
              </w:rPr>
              <w:t>2033 Notes: January 15, 2033</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283"/>
              <w:rPr/>
            </w:pPr>
            <w:r>
              <w:rPr/>
              <w:t>Denominations:</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283"/>
              <w:rPr/>
            </w:pPr>
            <w:r>
              <w:rPr/>
              <w:t>$2,000 and integral multiples of $1,000 in excess thereof</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Offering Price:</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99.846%, plus accrued interest, if any, from May 16, 2022</w:t>
            </w:r>
          </w:p>
          <w:p>
            <w:pPr>
              <w:pStyle w:val="TableContents"/>
              <w:spacing w:before="0" w:after="20"/>
              <w:rPr>
                <w:rFonts w:ascii="Times New Roman" w:hAnsi="Times New Roman"/>
                <w:sz w:val="20"/>
              </w:rPr>
            </w:pPr>
            <w:r>
              <w:rPr>
                <w:rFonts w:ascii="Times New Roman" w:hAnsi="Times New Roman"/>
                <w:sz w:val="20"/>
              </w:rPr>
              <w:t>2033 Notes: 99.701%, plus accrued interest, if any, from May 16, 2022</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Coupon:</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4.400% per annum</w:t>
            </w:r>
          </w:p>
          <w:p>
            <w:pPr>
              <w:pStyle w:val="TableContents"/>
              <w:spacing w:before="0" w:after="20"/>
              <w:rPr>
                <w:rFonts w:ascii="Times New Roman" w:hAnsi="Times New Roman"/>
                <w:sz w:val="20"/>
              </w:rPr>
            </w:pPr>
            <w:r>
              <w:rPr>
                <w:rFonts w:ascii="Times New Roman" w:hAnsi="Times New Roman"/>
                <w:sz w:val="20"/>
              </w:rPr>
              <w:t>2033 Notes: 5.000% per annum</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Yield to Maturity:</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4.434%</w:t>
            </w:r>
          </w:p>
          <w:p>
            <w:pPr>
              <w:pStyle w:val="TableContents"/>
              <w:spacing w:before="0" w:after="20"/>
              <w:rPr>
                <w:rFonts w:ascii="Times New Roman" w:hAnsi="Times New Roman"/>
                <w:sz w:val="20"/>
              </w:rPr>
            </w:pPr>
            <w:r>
              <w:rPr>
                <w:rFonts w:ascii="Times New Roman" w:hAnsi="Times New Roman"/>
                <w:sz w:val="20"/>
              </w:rPr>
              <w:t>2033 Notes: 5.035%</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Benchmark Treasury:</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2.750% UST due April 30, 2027</w:t>
            </w:r>
          </w:p>
          <w:p>
            <w:pPr>
              <w:pStyle w:val="TableContents"/>
              <w:spacing w:before="0" w:after="20"/>
              <w:rPr>
                <w:rFonts w:ascii="Times New Roman" w:hAnsi="Times New Roman"/>
                <w:sz w:val="20"/>
              </w:rPr>
            </w:pPr>
            <w:r>
              <w:rPr>
                <w:rFonts w:ascii="Times New Roman" w:hAnsi="Times New Roman"/>
                <w:sz w:val="20"/>
              </w:rPr>
              <w:t>2033 Notes: 1.875% UST due February 15, 2032</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Benchmark Treasury Price / Yield:</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99-27 / 2.784%</w:t>
            </w:r>
          </w:p>
          <w:p>
            <w:pPr>
              <w:pStyle w:val="TableContents"/>
              <w:spacing w:before="0" w:after="20"/>
              <w:rPr>
                <w:rFonts w:ascii="Times New Roman" w:hAnsi="Times New Roman"/>
                <w:sz w:val="20"/>
              </w:rPr>
            </w:pPr>
            <w:r>
              <w:rPr>
                <w:rFonts w:ascii="Times New Roman" w:hAnsi="Times New Roman"/>
                <w:sz w:val="20"/>
              </w:rPr>
              <w:t>2033 Notes: 91-27 3⁄4 / 2.835%</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Spread to Benchmark Treasury:</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T + 165 basis points</w:t>
            </w:r>
          </w:p>
          <w:p>
            <w:pPr>
              <w:pStyle w:val="TableContents"/>
              <w:spacing w:before="0" w:after="20"/>
              <w:rPr>
                <w:rFonts w:ascii="Times New Roman" w:hAnsi="Times New Roman"/>
                <w:sz w:val="20"/>
              </w:rPr>
            </w:pPr>
            <w:r>
              <w:rPr>
                <w:rFonts w:ascii="Times New Roman" w:hAnsi="Times New Roman"/>
                <w:sz w:val="20"/>
              </w:rPr>
              <w:t>2033 Notes: T + 220 basis points</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Expected Ratings (Outlook):*</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283"/>
              <w:rPr/>
            </w:pPr>
            <w:r>
              <w:rPr/>
              <w:t>Moodys: Baa3 (stable); S&amp;P: BBB (stable); Fitch: BBB (stable)</w:t>
            </w:r>
          </w:p>
        </w:tc>
      </w:tr>
      <w:tr>
        <w:trPr>
          <w:trHeight w:val="120" w:hRule="atLeast"/>
        </w:trPr>
        <w:tc>
          <w:tcPr>
            <w:tcW w:w="3019" w:type="dxa"/>
            <w:tcBorders/>
            <w:shd w:fill="auto" w:val="clear"/>
            <w:vAlign w:val="center"/>
          </w:tcPr>
          <w:p>
            <w:pPr>
              <w:pStyle w:val="TableContents"/>
              <w:spacing w:before="0" w:after="283"/>
              <w:rPr>
                <w:sz w:val="4"/>
                <w:szCs w:val="4"/>
              </w:rPr>
            </w:pPr>
            <w:r>
              <w:rPr>
                <w:sz w:val="4"/>
                <w:szCs w:val="4"/>
              </w:rPr>
            </w:r>
          </w:p>
        </w:tc>
        <w:tc>
          <w:tcPr>
            <w:tcW w:w="7186" w:type="dxa"/>
            <w:gridSpan w:val="2"/>
            <w:tcBorders/>
            <w:shd w:fill="auto" w:val="clear"/>
            <w:vAlign w:val="center"/>
          </w:tcPr>
          <w:p>
            <w:pPr>
              <w:pStyle w:val="TableContents"/>
              <w:spacing w:before="0" w:after="283"/>
              <w:rPr>
                <w:sz w:val="4"/>
                <w:szCs w:val="4"/>
              </w:rPr>
            </w:pPr>
            <w:r>
              <w:rPr>
                <w:sz w:val="4"/>
                <w:szCs w:val="4"/>
              </w:rPr>
            </w:r>
          </w:p>
        </w:tc>
      </w:tr>
      <w:tr>
        <w:trPr/>
        <w:tc>
          <w:tcPr>
            <w:tcW w:w="3019" w:type="dxa"/>
            <w:tcBorders/>
            <w:shd w:fill="auto" w:val="clear"/>
          </w:tcPr>
          <w:p>
            <w:pPr>
              <w:pStyle w:val="TableContents"/>
              <w:spacing w:before="0" w:after="0"/>
              <w:rPr>
                <w:rFonts w:ascii="Times New Roman" w:hAnsi="Times New Roman"/>
                <w:sz w:val="20"/>
              </w:rPr>
            </w:pPr>
            <w:r>
              <w:rPr>
                <w:rFonts w:ascii="Times New Roman" w:hAnsi="Times New Roman"/>
                <w:sz w:val="20"/>
              </w:rPr>
              <w:t>Interest Payment Dates:</w:t>
            </w:r>
          </w:p>
        </w:tc>
        <w:tc>
          <w:tcPr>
            <w:tcW w:w="123" w:type="dxa"/>
            <w:tcBorders/>
            <w:shd w:fill="auto" w:val="clear"/>
            <w:vAlign w:val="bottom"/>
          </w:tcPr>
          <w:p>
            <w:pPr>
              <w:pStyle w:val="TableContents"/>
              <w:spacing w:before="0" w:after="283"/>
              <w:rPr/>
            </w:pPr>
            <w:r>
              <w:rPr/>
              <w:t>  </w:t>
            </w:r>
          </w:p>
        </w:tc>
        <w:tc>
          <w:tcPr>
            <w:tcW w:w="70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June 1 and December 1, beginning on December 1, 2022</w:t>
            </w:r>
          </w:p>
          <w:p>
            <w:pPr>
              <w:pStyle w:val="TableContents"/>
              <w:spacing w:before="0" w:after="20"/>
              <w:rPr>
                <w:rFonts w:ascii="Times New Roman" w:hAnsi="Times New Roman"/>
                <w:sz w:val="20"/>
              </w:rPr>
            </w:pPr>
            <w:r>
              <w:rPr>
                <w:rFonts w:ascii="Times New Roman" w:hAnsi="Times New Roman"/>
                <w:sz w:val="20"/>
              </w:rPr>
              <w:t>2033 Notes: January 15 and July 15, beginning on January 15, 2023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928"/>
        <w:gridCol w:w="122"/>
        <w:gridCol w:w="7155"/>
      </w:tblGrid>
      <w:tr>
        <w:trPr/>
        <w:tc>
          <w:tcPr>
            <w:tcW w:w="29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15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Record Dates:</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May 15 and November 15</w:t>
            </w:r>
          </w:p>
          <w:p>
            <w:pPr>
              <w:pStyle w:val="TableContents"/>
              <w:spacing w:before="0" w:after="20"/>
              <w:rPr>
                <w:rFonts w:ascii="Times New Roman" w:hAnsi="Times New Roman"/>
                <w:sz w:val="20"/>
              </w:rPr>
            </w:pPr>
            <w:r>
              <w:rPr>
                <w:rFonts w:ascii="Times New Roman" w:hAnsi="Times New Roman"/>
                <w:sz w:val="20"/>
              </w:rPr>
              <w:t>2033 Notes: January 1 and July 1</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283"/>
              <w:rPr/>
            </w:pPr>
            <w:r>
              <w:rPr/>
              <w:t>Par Call:</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Par call on or after May 1, 2027 (the date that is one month prior to the final maturity date)</w:t>
            </w:r>
          </w:p>
          <w:p>
            <w:pPr>
              <w:pStyle w:val="TableContents"/>
              <w:spacing w:before="0" w:after="20"/>
              <w:rPr>
                <w:rFonts w:ascii="Times New Roman" w:hAnsi="Times New Roman"/>
                <w:sz w:val="20"/>
              </w:rPr>
            </w:pPr>
            <w:r>
              <w:rPr>
                <w:rFonts w:ascii="Times New Roman" w:hAnsi="Times New Roman"/>
                <w:sz w:val="20"/>
              </w:rPr>
              <w:t>2033 Notes: Par call on or after October 15, 2032 (the date that is three months prior to the final maturity date)</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Make-Whole Call:</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Callable at make-whole call of T+25 basis points</w:t>
            </w:r>
          </w:p>
          <w:p>
            <w:pPr>
              <w:pStyle w:val="TableContents"/>
              <w:spacing w:before="0" w:after="20"/>
              <w:rPr>
                <w:rFonts w:ascii="Times New Roman" w:hAnsi="Times New Roman"/>
                <w:sz w:val="20"/>
              </w:rPr>
            </w:pPr>
            <w:r>
              <w:rPr>
                <w:rFonts w:ascii="Times New Roman" w:hAnsi="Times New Roman"/>
                <w:sz w:val="20"/>
              </w:rPr>
              <w:t>2033 Notes: Callable at make-whole call of T+35 basis points</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CUSIP / ISIN:</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2027 Notes: 62954H BE7 / US62954HBE71</w:t>
            </w:r>
          </w:p>
          <w:p>
            <w:pPr>
              <w:pStyle w:val="TableContents"/>
              <w:spacing w:before="0" w:after="20"/>
              <w:rPr>
                <w:rFonts w:ascii="Times New Roman" w:hAnsi="Times New Roman"/>
                <w:sz w:val="20"/>
              </w:rPr>
            </w:pPr>
            <w:r>
              <w:rPr>
                <w:rFonts w:ascii="Times New Roman" w:hAnsi="Times New Roman"/>
                <w:sz w:val="20"/>
              </w:rPr>
              <w:t>2033 Notes: 62954H BB3 / US62954HBB33</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Joint Bookrunners:</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xml:space="preserve">Citigroup Global Markets Inc. </w:t>
              <w:br/>
              <w:t xml:space="preserve">Deutsche Bank Securities Inc. </w:t>
              <w:br/>
              <w:t>Goldman Sachs &amp; Co. LLC</w:t>
            </w:r>
          </w:p>
          <w:p>
            <w:pPr>
              <w:pStyle w:val="TableContents"/>
              <w:spacing w:before="0" w:after="0"/>
              <w:rPr>
                <w:rFonts w:ascii="Times New Roman" w:hAnsi="Times New Roman"/>
                <w:sz w:val="20"/>
              </w:rPr>
            </w:pPr>
            <w:r>
              <w:rPr>
                <w:rFonts w:ascii="Times New Roman" w:hAnsi="Times New Roman"/>
                <w:sz w:val="20"/>
              </w:rPr>
              <w:t>Rabo Securities USA, Inc.</w:t>
            </w:r>
          </w:p>
          <w:p>
            <w:pPr>
              <w:pStyle w:val="TableContents"/>
              <w:spacing w:before="0" w:after="20"/>
              <w:rPr>
                <w:rFonts w:ascii="Times New Roman" w:hAnsi="Times New Roman"/>
                <w:sz w:val="20"/>
              </w:rPr>
            </w:pPr>
            <w:r>
              <w:rPr>
                <w:rFonts w:ascii="Times New Roman" w:hAnsi="Times New Roman"/>
                <w:sz w:val="20"/>
              </w:rPr>
              <w:t>SMBC Nikko Securities America, Inc.</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Trade Date:</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283"/>
              <w:rPr/>
            </w:pPr>
            <w:r>
              <w:rPr/>
              <w:t>May 12, 2022</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Settlement Date:</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283"/>
              <w:rPr/>
            </w:pPr>
            <w:r>
              <w:rPr/>
              <w:t>May 16, 2022 (T+2)</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Distribution:</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283"/>
              <w:rPr/>
            </w:pPr>
            <w:r>
              <w:rPr/>
              <w:t>SEC-registered</w:t>
            </w:r>
          </w:p>
        </w:tc>
      </w:tr>
      <w:tr>
        <w:trPr>
          <w:trHeight w:val="120" w:hRule="atLeast"/>
        </w:trPr>
        <w:tc>
          <w:tcPr>
            <w:tcW w:w="2928" w:type="dxa"/>
            <w:tcBorders/>
            <w:shd w:fill="auto" w:val="clear"/>
            <w:vAlign w:val="center"/>
          </w:tcPr>
          <w:p>
            <w:pPr>
              <w:pStyle w:val="TableContents"/>
              <w:spacing w:before="0" w:after="283"/>
              <w:rPr>
                <w:sz w:val="4"/>
                <w:szCs w:val="4"/>
              </w:rPr>
            </w:pPr>
            <w:r>
              <w:rPr>
                <w:sz w:val="4"/>
                <w:szCs w:val="4"/>
              </w:rPr>
            </w:r>
          </w:p>
        </w:tc>
        <w:tc>
          <w:tcPr>
            <w:tcW w:w="7277" w:type="dxa"/>
            <w:gridSpan w:val="2"/>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Governing Law:</w:t>
            </w:r>
          </w:p>
        </w:tc>
        <w:tc>
          <w:tcPr>
            <w:tcW w:w="122" w:type="dxa"/>
            <w:tcBorders/>
            <w:shd w:fill="auto" w:val="clear"/>
            <w:vAlign w:val="bottom"/>
          </w:tcPr>
          <w:p>
            <w:pPr>
              <w:pStyle w:val="TableContents"/>
              <w:spacing w:before="0" w:after="283"/>
              <w:rPr/>
            </w:pPr>
            <w:r>
              <w:rPr/>
              <w:t>  </w:t>
            </w:r>
          </w:p>
        </w:tc>
        <w:tc>
          <w:tcPr>
            <w:tcW w:w="7155" w:type="dxa"/>
            <w:tcBorders/>
            <w:shd w:fill="auto" w:val="clear"/>
            <w:vAlign w:val="bottom"/>
          </w:tcPr>
          <w:p>
            <w:pPr>
              <w:pStyle w:val="TableContents"/>
              <w:spacing w:before="0" w:after="283"/>
              <w:rPr/>
            </w:pPr>
            <w:r>
              <w:rPr/>
              <w:t>State of New York</w:t>
            </w:r>
          </w:p>
        </w:tc>
      </w:tr>
    </w:tbl>
    <w:p>
      <w:pPr>
        <w:pStyle w:val="TextBody"/>
        <w:spacing w:before="240" w:after="0"/>
        <w:jc w:val="center"/>
        <w:rPr>
          <w:rFonts w:ascii="Times New Roman" w:hAnsi="Times New Roman"/>
          <w:sz w:val="20"/>
        </w:rPr>
      </w:pPr>
      <w:r>
        <w:rPr>
          <w:rFonts w:ascii="Times New Roman" w:hAnsi="Times New Roman"/>
          <w:sz w:val="20"/>
        </w:rPr>
        <w:t xml:space="preserve">*    *    *    *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Note: These securities ratings are expected to be provided by Moodys, S&amp;P and Fitch. None of these ratings is a recommendation to buy, sell or hold these securities. Each rating may be subject to revision or withdrawal at any time, and should be evaluated independently of any other rating. </w:t>
            </w:r>
          </w:p>
        </w:tc>
      </w:tr>
    </w:tbl>
    <w:p>
      <w:pPr>
        <w:pStyle w:val="TextBody"/>
        <w:spacing w:before="240" w:after="0"/>
        <w:jc w:val="left"/>
        <w:rPr>
          <w:rFonts w:ascii="Times New Roman" w:hAnsi="Times New Roman"/>
          <w:sz w:val="20"/>
        </w:rPr>
      </w:pPr>
      <w:r>
        <w:rPr>
          <w:rFonts w:ascii="Times New Roman" w:hAnsi="Times New Roman"/>
          <w:sz w:val="20"/>
        </w:rPr>
        <w:t xml:space="preserve">This communication is confidential and is intended for the sole use of the person to whom it is provided by the sender. This communication does not constitute an offer to sell or the solicitation of an offer to buy any securities in any jurisdiction to any person to whom it is unlawful to make such offer or solicitation in such jurisdiction.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Issuers and Guarantor have filed a registration statement (including a prospectus) with the SEC for the offering to which this communication relates. Before you invest, you should read the prospectus in that registration statement and other documents that have been filed with the SEC that are incorporated by reference in the prospectus for more complete information about the issuer and this offering. You may get these documents for free by visiting EDGAR on the SEC website at www.sec.gov. Alternatively, the Issuers, the Guarantor, any underwriter or any dealer participating in the offering will arrange to send you the prospectus if you request it by calling Citigroup Global Markets Inc. at 1-800-831-9146; Deutsche Bank Securities Inc. at 1-800-503-4611 or Goldman Sachs &amp; Co. LLC at 1-866-471-2526. </w:t>
      </w:r>
    </w:p>
    <w:p>
      <w:pPr>
        <w:pStyle w:val="TextBody"/>
        <w:spacing w:before="240" w:after="0"/>
        <w:jc w:val="left"/>
        <w:rPr>
          <w:rFonts w:ascii="Times New Roman" w:hAnsi="Times New Roman"/>
          <w:sz w:val="20"/>
        </w:rPr>
      </w:pPr>
      <w:r>
        <w:rPr>
          <w:rFonts w:ascii="Times New Roman" w:hAnsi="Times New Roman"/>
          <w:sz w:val="20"/>
        </w:rPr>
        <w:t xml:space="preserve">No prospectus is required, in any member state of the European Economic Area, in accordance with Regulation (EU) 2017 / 1129 or, in the United Kingdom, in accordance with Regulation (EU) 2017 / 1129 as it forms part of domestic law by virtue of the European Union (Withdrawal) Act 2018. </w:t>
      </w:r>
    </w:p>
    <w:p>
      <w:pPr>
        <w:pStyle w:val="TextBody"/>
        <w:spacing w:before="240" w:after="0"/>
        <w:jc w:val="left"/>
        <w:rPr>
          <w:rFonts w:ascii="Times New Roman" w:hAnsi="Times New Roman"/>
          <w:i/>
          <w:sz w:val="20"/>
        </w:rPr>
      </w:pPr>
      <w:r>
        <w:rPr>
          <w:rFonts w:ascii="Times New Roman" w:hAnsi="Times New Roman"/>
          <w:i/>
          <w:sz w:val="20"/>
        </w:rPr>
        <w:t xml:space="preserve">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1017</Words>
  <CharactersWithSpaces>6061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