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809625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90" w:lineRule="exact"/>
        <w:rPr>
          <w:sz w:val="24"/>
          <w:szCs w:val="24"/>
          <w:color w:val="auto"/>
        </w:rPr>
      </w:pPr>
    </w:p>
    <w:p>
      <w:pPr>
        <w:ind w:left="2520" w:hanging="175"/>
        <w:spacing w:after="0"/>
        <w:tabs>
          <w:tab w:leader="none" w:pos="2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 xml:space="preserve">For the quarterly period ended </w:t>
      </w:r>
      <w:r>
        <w:rPr>
          <w:rFonts w:ascii="Times New Roman" w:cs="Times New Roman" w:eastAsia="Times New Roman" w:hAnsi="Times New Roman"/>
          <w:sz w:val="14"/>
          <w:szCs w:val="14"/>
          <w:color w:val="auto"/>
        </w:rPr>
        <w:t>September 27, 2026</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or</w:t>
      </w:r>
    </w:p>
    <w:p>
      <w:pPr>
        <w:spacing w:after="0" w:line="82" w:lineRule="exact"/>
        <w:rPr>
          <w:sz w:val="24"/>
          <w:szCs w:val="24"/>
          <w:color w:val="auto"/>
        </w:rPr>
      </w:pPr>
    </w:p>
    <w:p>
      <w:pPr>
        <w:ind w:left="2480" w:hanging="161"/>
        <w:spacing w:after="0"/>
        <w:tabs>
          <w:tab w:leader="none" w:pos="2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68" w:lineRule="exact"/>
        <w:rPr>
          <w:sz w:val="24"/>
          <w:szCs w:val="24"/>
          <w:color w:val="auto"/>
        </w:rPr>
      </w:pPr>
    </w:p>
    <w:p>
      <w:pPr>
        <w:ind w:left="4400"/>
        <w:spacing w:after="0"/>
        <w:tabs>
          <w:tab w:leader="none" w:pos="6340" w:val="left"/>
          <w:tab w:leader="none" w:pos="6840" w:val="left"/>
        </w:tabs>
        <w:rPr>
          <w:sz w:val="20"/>
          <w:szCs w:val="20"/>
          <w:color w:val="auto"/>
        </w:rPr>
      </w:pPr>
      <w:r>
        <w:rPr>
          <w:rFonts w:ascii="Times New Roman" w:cs="Times New Roman" w:eastAsia="Times New Roman" w:hAnsi="Times New Roman"/>
          <w:sz w:val="13"/>
          <w:szCs w:val="13"/>
          <w:color w:val="auto"/>
        </w:rPr>
        <w:t>For the transition period from</w:t>
      </w:r>
      <w:r>
        <w:rPr>
          <w:sz w:val="20"/>
          <w:szCs w:val="20"/>
          <w:color w:val="auto"/>
        </w:rPr>
        <w:tab/>
      </w:r>
      <w:r>
        <w:rPr>
          <w:rFonts w:ascii="Times New Roman" w:cs="Times New Roman" w:eastAsia="Times New Roman" w:hAnsi="Times New Roman"/>
          <w:sz w:val="13"/>
          <w:szCs w:val="13"/>
          <w:color w:val="auto"/>
        </w:rPr>
        <w:t>to</w:t>
      </w:r>
      <w:r>
        <w:rPr>
          <w:sz w:val="20"/>
          <w:szCs w:val="20"/>
          <w:color w:val="auto"/>
        </w:rPr>
        <w:tab/>
      </w:r>
      <w:r>
        <w:rPr>
          <w:rFonts w:ascii="Times New Roman" w:cs="Times New Roman" w:eastAsia="Times New Roman" w:hAnsi="Times New Roman"/>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3769995</wp:posOffset>
            </wp:positionH>
            <wp:positionV relativeFrom="paragraph">
              <wp:posOffset>-6350</wp:posOffset>
            </wp:positionV>
            <wp:extent cx="5886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8645" cy="6985"/>
                    </a:xfrm>
                    <a:prstGeom prst="rect">
                      <a:avLst/>
                    </a:prstGeom>
                    <a:noFill/>
                  </pic:spPr>
                </pic:pic>
              </a:graphicData>
            </a:graphic>
          </wp:anchor>
        </w:drawing>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 xml:space="preserve">Commission File Number: </w:t>
      </w:r>
      <w:r>
        <w:rPr>
          <w:rFonts w:ascii="Times New Roman" w:cs="Times New Roman" w:eastAsia="Times New Roman" w:hAnsi="Times New Roman"/>
          <w:sz w:val="13"/>
          <w:szCs w:val="13"/>
          <w:b w:val="1"/>
          <w:bCs w:val="1"/>
          <w:color w:val="auto"/>
        </w:rPr>
        <w:t>001-34841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554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5420" cy="6985"/>
                    </a:xfrm>
                    <a:prstGeom prst="rect">
                      <a:avLst/>
                    </a:prstGeom>
                    <a:noFill/>
                  </pic:spPr>
                </pic:pic>
              </a:graphicData>
            </a:graphic>
          </wp:anchor>
        </w:drawing>
      </w: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NXP Semiconductors N.V.</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6" w:lineRule="exact"/>
        <w:rPr>
          <w:sz w:val="24"/>
          <w:szCs w:val="24"/>
          <w:color w:val="auto"/>
        </w:rPr>
      </w:pPr>
    </w:p>
    <w:p>
      <w:pPr>
        <w:ind w:left="2220"/>
        <w:spacing w:after="0"/>
        <w:tabs>
          <w:tab w:leader="none" w:pos="7380" w:val="left"/>
        </w:tabs>
        <w:rPr>
          <w:sz w:val="20"/>
          <w:szCs w:val="20"/>
          <w:color w:val="auto"/>
        </w:rPr>
      </w:pPr>
      <w:r>
        <w:rPr>
          <w:rFonts w:ascii="Times New Roman" w:cs="Times New Roman" w:eastAsia="Times New Roman" w:hAnsi="Times New Roman"/>
          <w:sz w:val="13"/>
          <w:szCs w:val="13"/>
          <w:b w:val="1"/>
          <w:bCs w:val="1"/>
          <w:color w:val="auto"/>
        </w:rPr>
        <w:t>Netherlands</w:t>
      </w:r>
      <w:r>
        <w:rPr>
          <w:sz w:val="20"/>
          <w:szCs w:val="20"/>
          <w:color w:val="auto"/>
        </w:rPr>
        <w:tab/>
      </w:r>
      <w:r>
        <w:rPr>
          <w:rFonts w:ascii="Times New Roman" w:cs="Times New Roman" w:eastAsia="Times New Roman" w:hAnsi="Times New Roman"/>
          <w:sz w:val="13"/>
          <w:szCs w:val="13"/>
          <w:b w:val="1"/>
          <w:bCs w:val="1"/>
          <w:color w:val="auto"/>
        </w:rPr>
        <w:t>United States</w:t>
      </w:r>
    </w:p>
    <w:p>
      <w:pPr>
        <w:spacing w:after="0" w:line="97"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3"/>
          <w:szCs w:val="13"/>
          <w:color w:val="auto"/>
        </w:rPr>
        <w:t>(State or other jurisdiction</w:t>
      </w:r>
    </w:p>
    <w:p>
      <w:pPr>
        <w:spacing w:after="0" w:line="13"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3"/>
          <w:szCs w:val="13"/>
          <w:color w:val="auto"/>
        </w:rPr>
        <w:t>of incorporation or organization)</w:t>
      </w:r>
    </w:p>
    <w:p>
      <w:pPr>
        <w:sectPr>
          <w:pgSz w:w="11900" w:h="16838" w:orient="portrait"/>
          <w:cols w:equalWidth="0" w:num="1">
            <w:col w:w="11300"/>
          </w:cols>
          <w:pgMar w:left="300" w:top="1359" w:right="299" w:bottom="1440" w:gutter="0" w:footer="0" w:header="0"/>
        </w:sectPr>
      </w:pPr>
    </w:p>
    <w:p>
      <w:pPr>
        <w:spacing w:after="0" w:line="79" w:lineRule="exact"/>
        <w:rPr>
          <w:sz w:val="24"/>
          <w:szCs w:val="24"/>
          <w:color w:val="auto"/>
        </w:rPr>
      </w:pPr>
    </w:p>
    <w:p>
      <w:pPr>
        <w:jc w:val="center"/>
        <w:ind w:left="1960"/>
        <w:spacing w:after="0"/>
        <w:rPr>
          <w:sz w:val="20"/>
          <w:szCs w:val="20"/>
          <w:color w:val="auto"/>
        </w:rPr>
      </w:pPr>
      <w:r>
        <w:rPr>
          <w:rFonts w:ascii="Times New Roman" w:cs="Times New Roman" w:eastAsia="Times New Roman" w:hAnsi="Times New Roman"/>
          <w:sz w:val="12"/>
          <w:szCs w:val="12"/>
          <w:b w:val="1"/>
          <w:bCs w:val="1"/>
          <w:color w:val="auto"/>
        </w:rPr>
        <w:t>60 High Tech Campus</w:t>
      </w:r>
    </w:p>
    <w:p>
      <w:pPr>
        <w:spacing w:after="0" w:line="95" w:lineRule="exact"/>
        <w:rPr>
          <w:sz w:val="24"/>
          <w:szCs w:val="24"/>
          <w:color w:val="auto"/>
        </w:rPr>
      </w:pPr>
    </w:p>
    <w:p>
      <w:pPr>
        <w:jc w:val="center"/>
        <w:ind w:left="1960"/>
        <w:spacing w:after="0"/>
        <w:rPr>
          <w:sz w:val="20"/>
          <w:szCs w:val="20"/>
          <w:color w:val="auto"/>
        </w:rPr>
      </w:pPr>
      <w:r>
        <w:rPr>
          <w:rFonts w:ascii="Times New Roman" w:cs="Times New Roman" w:eastAsia="Times New Roman" w:hAnsi="Times New Roman"/>
          <w:sz w:val="13"/>
          <w:szCs w:val="13"/>
          <w:b w:val="1"/>
          <w:bCs w:val="1"/>
          <w:color w:val="auto"/>
        </w:rPr>
        <w:t>Eindhoven</w:t>
      </w:r>
    </w:p>
    <w:p>
      <w:pPr>
        <w:spacing w:after="0" w:line="84"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5656 AG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3"/>
          <w:szCs w:val="13"/>
          <w:b w:val="1"/>
          <w:bCs w:val="1"/>
          <w:color w:val="auto"/>
        </w:rPr>
        <w:t>+31</w:t>
      </w:r>
    </w:p>
    <w:p>
      <w:pPr>
        <w:spacing w:after="0" w:line="37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40" w:type="dxa"/>
            <w:vAlign w:val="bottom"/>
            <w:gridSpan w:val="2"/>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6501 W William Cannon Dr.</w:t>
            </w:r>
          </w:p>
        </w:tc>
        <w:tc>
          <w:tcPr>
            <w:tcW w:w="0" w:type="dxa"/>
            <w:vAlign w:val="bottom"/>
          </w:tcPr>
          <w:p>
            <w:pPr>
              <w:spacing w:after="0"/>
              <w:rPr>
                <w:sz w:val="1"/>
                <w:szCs w:val="1"/>
                <w:color w:val="auto"/>
              </w:rPr>
            </w:pPr>
          </w:p>
        </w:tc>
      </w:tr>
      <w:tr>
        <w:trPr>
          <w:trHeight w:val="265"/>
        </w:trPr>
        <w:tc>
          <w:tcPr>
            <w:tcW w:w="8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56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Austin</w:t>
            </w:r>
          </w:p>
        </w:tc>
        <w:tc>
          <w:tcPr>
            <w:tcW w:w="960" w:type="dxa"/>
            <w:vAlign w:val="bottom"/>
          </w:tcPr>
          <w:p>
            <w:pPr>
              <w:spacing w:after="0"/>
              <w:rPr>
                <w:sz w:val="23"/>
                <w:szCs w:val="23"/>
                <w:color w:val="auto"/>
              </w:rPr>
            </w:pPr>
          </w:p>
        </w:tc>
        <w:tc>
          <w:tcPr>
            <w:tcW w:w="1480" w:type="dxa"/>
            <w:vAlign w:val="bottom"/>
          </w:tcPr>
          <w:p>
            <w:pPr>
              <w:jc w:val="center"/>
              <w:ind w:left="1096"/>
              <w:spacing w:after="0"/>
              <w:rPr>
                <w:sz w:val="20"/>
                <w:szCs w:val="20"/>
                <w:color w:val="auto"/>
              </w:rPr>
            </w:pPr>
            <w:r>
              <w:rPr>
                <w:rFonts w:ascii="Times New Roman" w:cs="Times New Roman" w:eastAsia="Times New Roman" w:hAnsi="Times New Roman"/>
                <w:sz w:val="13"/>
                <w:szCs w:val="13"/>
                <w:b w:val="1"/>
                <w:bCs w:val="1"/>
                <w:color w:val="auto"/>
                <w:w w:val="98"/>
              </w:rPr>
              <w:t>Texas</w:t>
            </w:r>
          </w:p>
        </w:tc>
        <w:tc>
          <w:tcPr>
            <w:tcW w:w="0" w:type="dxa"/>
            <w:vAlign w:val="bottom"/>
          </w:tcPr>
          <w:p>
            <w:pPr>
              <w:spacing w:after="0"/>
              <w:rPr>
                <w:sz w:val="1"/>
                <w:szCs w:val="1"/>
                <w:color w:val="auto"/>
              </w:rPr>
            </w:pPr>
          </w:p>
        </w:tc>
      </w:tr>
      <w:tr>
        <w:trPr>
          <w:trHeight w:val="237"/>
        </w:trPr>
        <w:tc>
          <w:tcPr>
            <w:tcW w:w="8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5"/>
              </w:rPr>
              <w:t>Netherlands</w:t>
            </w:r>
          </w:p>
        </w:tc>
        <w:tc>
          <w:tcPr>
            <w:tcW w:w="1880" w:type="dxa"/>
            <w:vAlign w:val="bottom"/>
          </w:tcPr>
          <w:p>
            <w:pPr>
              <w:spacing w:after="0"/>
              <w:rPr>
                <w:sz w:val="20"/>
                <w:szCs w:val="20"/>
                <w:color w:val="auto"/>
              </w:rPr>
            </w:pPr>
          </w:p>
        </w:tc>
        <w:tc>
          <w:tcPr>
            <w:tcW w:w="56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78735</w:t>
            </w:r>
          </w:p>
        </w:tc>
        <w:tc>
          <w:tcPr>
            <w:tcW w:w="960" w:type="dxa"/>
            <w:vAlign w:val="bottom"/>
          </w:tcPr>
          <w:p>
            <w:pPr>
              <w:spacing w:after="0"/>
              <w:rPr>
                <w:sz w:val="20"/>
                <w:szCs w:val="20"/>
                <w:color w:val="auto"/>
              </w:rPr>
            </w:pPr>
          </w:p>
        </w:tc>
        <w:tc>
          <w:tcPr>
            <w:tcW w:w="1480" w:type="dxa"/>
            <w:vAlign w:val="bottom"/>
          </w:tcPr>
          <w:p>
            <w:pPr>
              <w:jc w:val="center"/>
              <w:ind w:left="1096"/>
              <w:spacing w:after="0"/>
              <w:rPr>
                <w:sz w:val="20"/>
                <w:szCs w:val="20"/>
                <w:color w:val="auto"/>
              </w:rPr>
            </w:pPr>
            <w:r>
              <w:rPr>
                <w:rFonts w:ascii="Times New Roman" w:cs="Times New Roman" w:eastAsia="Times New Roman" w:hAnsi="Times New Roman"/>
                <w:sz w:val="13"/>
                <w:szCs w:val="13"/>
                <w:b w:val="1"/>
                <w:bCs w:val="1"/>
                <w:color w:val="auto"/>
                <w:w w:val="92"/>
              </w:rPr>
              <w:t>USA</w:t>
            </w:r>
          </w:p>
        </w:tc>
        <w:tc>
          <w:tcPr>
            <w:tcW w:w="0" w:type="dxa"/>
            <w:vAlign w:val="bottom"/>
          </w:tcPr>
          <w:p>
            <w:pPr>
              <w:spacing w:after="0"/>
              <w:rPr>
                <w:sz w:val="1"/>
                <w:szCs w:val="1"/>
                <w:color w:val="auto"/>
              </w:rPr>
            </w:pPr>
          </w:p>
        </w:tc>
      </w:tr>
      <w:tr>
        <w:trPr>
          <w:trHeight w:val="176"/>
        </w:trPr>
        <w:tc>
          <w:tcPr>
            <w:tcW w:w="3320" w:type="dxa"/>
            <w:vAlign w:val="bottom"/>
            <w:gridSpan w:val="3"/>
          </w:tcPr>
          <w:p>
            <w:pPr>
              <w:jc w:val="center"/>
              <w:ind w:left="75"/>
              <w:spacing w:after="0"/>
              <w:rPr>
                <w:sz w:val="20"/>
                <w:szCs w:val="20"/>
                <w:color w:val="auto"/>
              </w:rPr>
            </w:pPr>
            <w:r>
              <w:rPr>
                <w:rFonts w:ascii="Times New Roman" w:cs="Times New Roman" w:eastAsia="Times New Roman" w:hAnsi="Times New Roman"/>
                <w:sz w:val="13"/>
                <w:szCs w:val="13"/>
                <w:color w:val="auto"/>
                <w:w w:val="97"/>
              </w:rPr>
              <w:t>(Address of principal executive offices) (Zip code)</w:t>
            </w:r>
          </w:p>
        </w:tc>
        <w:tc>
          <w:tcPr>
            <w:tcW w:w="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880" w:type="dxa"/>
            <w:vAlign w:val="bottom"/>
          </w:tcPr>
          <w:p>
            <w:pPr>
              <w:spacing w:after="0"/>
              <w:rPr>
                <w:sz w:val="24"/>
                <w:szCs w:val="24"/>
                <w:color w:val="auto"/>
              </w:rPr>
            </w:pPr>
          </w:p>
        </w:tc>
        <w:tc>
          <w:tcPr>
            <w:tcW w:w="188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auto"/>
                <w:w w:val="95"/>
              </w:rPr>
              <w:t>98-1144352</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760" w:type="dxa"/>
            <w:vAlign w:val="bottom"/>
            <w:gridSpan w:val="2"/>
          </w:tcPr>
          <w:p>
            <w:pPr>
              <w:jc w:val="center"/>
              <w:ind w:left="635"/>
              <w:spacing w:after="0"/>
              <w:rPr>
                <w:sz w:val="20"/>
                <w:szCs w:val="20"/>
                <w:color w:val="auto"/>
              </w:rPr>
            </w:pPr>
            <w:r>
              <w:rPr>
                <w:rFonts w:ascii="Times New Roman" w:cs="Times New Roman" w:eastAsia="Times New Roman" w:hAnsi="Times New Roman"/>
                <w:sz w:val="13"/>
                <w:szCs w:val="13"/>
                <w:color w:val="auto"/>
                <w:w w:val="97"/>
              </w:rPr>
              <w:t>(I.R.S. employer identification number)</w:t>
            </w: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880" w:type="dxa"/>
            <w:vAlign w:val="bottom"/>
            <w:vMerge w:val="restart"/>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40</w:t>
            </w:r>
          </w:p>
        </w:tc>
        <w:tc>
          <w:tcPr>
            <w:tcW w:w="1880" w:type="dxa"/>
            <w:vAlign w:val="bottom"/>
            <w:vMerge w:val="restart"/>
          </w:tcPr>
          <w:p>
            <w:pPr>
              <w:jc w:val="right"/>
              <w:ind w:right="1216"/>
              <w:spacing w:after="0"/>
              <w:rPr>
                <w:sz w:val="20"/>
                <w:szCs w:val="20"/>
                <w:color w:val="auto"/>
              </w:rPr>
            </w:pPr>
            <w:r>
              <w:rPr>
                <w:rFonts w:ascii="Times New Roman" w:cs="Times New Roman" w:eastAsia="Times New Roman" w:hAnsi="Times New Roman"/>
                <w:sz w:val="13"/>
                <w:szCs w:val="13"/>
                <w:b w:val="1"/>
                <w:bCs w:val="1"/>
                <w:color w:val="auto"/>
              </w:rPr>
              <w:t>2729999</w:t>
            </w:r>
          </w:p>
        </w:tc>
        <w:tc>
          <w:tcPr>
            <w:tcW w:w="5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+1</w:t>
            </w: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512</w:t>
            </w:r>
          </w:p>
        </w:tc>
        <w:tc>
          <w:tcPr>
            <w:tcW w:w="148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895 2000</w:t>
            </w:r>
          </w:p>
        </w:tc>
        <w:tc>
          <w:tcPr>
            <w:tcW w:w="0" w:type="dxa"/>
            <w:vAlign w:val="bottom"/>
          </w:tcPr>
          <w:p>
            <w:pPr>
              <w:spacing w:after="0"/>
              <w:rPr>
                <w:sz w:val="1"/>
                <w:szCs w:val="1"/>
                <w:color w:val="auto"/>
              </w:rPr>
            </w:pPr>
          </w:p>
        </w:tc>
      </w:tr>
      <w:tr>
        <w:trPr>
          <w:trHeight w:val="42"/>
        </w:trPr>
        <w:tc>
          <w:tcPr>
            <w:tcW w:w="880" w:type="dxa"/>
            <w:vAlign w:val="bottom"/>
            <w:vMerge w:val="continue"/>
          </w:tcPr>
          <w:p>
            <w:pPr>
              <w:spacing w:after="0"/>
              <w:rPr>
                <w:sz w:val="3"/>
                <w:szCs w:val="3"/>
                <w:color w:val="auto"/>
              </w:rPr>
            </w:pPr>
          </w:p>
        </w:tc>
        <w:tc>
          <w:tcPr>
            <w:tcW w:w="18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350" w:lineRule="exact"/>
        <w:rPr>
          <w:sz w:val="24"/>
          <w:szCs w:val="24"/>
          <w:color w:val="auto"/>
        </w:rPr>
      </w:pPr>
    </w:p>
    <w:p>
      <w:pPr>
        <w:sectPr>
          <w:pgSz w:w="11900" w:h="16838" w:orient="portrait"/>
          <w:cols w:equalWidth="0" w:num="2">
            <w:col w:w="3160" w:space="320"/>
            <w:col w:w="7820"/>
          </w:cols>
          <w:pgMar w:left="300" w:top="1359" w:right="299" w:bottom="1440" w:gutter="0" w:footer="0" w:header="0"/>
          <w:type w:val="continuous"/>
        </w:sectPr>
      </w:pPr>
    </w:p>
    <w:tbl>
      <w:tblPr>
        <w:tblLayout w:type="fixed"/>
        <w:tblInd w:w="10" w:type="dxa"/>
        <w:tblCellMar>
          <w:top w:w="0" w:type="dxa"/>
          <w:left w:w="0" w:type="dxa"/>
          <w:bottom w:w="0" w:type="dxa"/>
          <w:right w:w="0" w:type="dxa"/>
        </w:tblCellMar>
      </w:tblPr>
      <w:tr>
        <w:trPr>
          <w:trHeight w:val="187"/>
        </w:trPr>
        <w:tc>
          <w:tcPr>
            <w:tcW w:w="43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Title of each class</w:t>
            </w:r>
          </w:p>
        </w:tc>
        <w:tc>
          <w:tcPr>
            <w:tcW w:w="2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Trading symbol(s)</w:t>
            </w:r>
          </w:p>
        </w:tc>
        <w:tc>
          <w:tcPr>
            <w:tcW w:w="48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36"/>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4860" w:type="dxa"/>
            <w:vAlign w:val="bottom"/>
            <w:tcBorders>
              <w:bottom w:val="single" w:sz="8" w:color="auto"/>
              <w:right w:val="single" w:sz="8" w:color="auto"/>
            </w:tcBorders>
          </w:tcPr>
          <w:p>
            <w:pPr>
              <w:spacing w:after="0"/>
              <w:rPr>
                <w:sz w:val="3"/>
                <w:szCs w:val="3"/>
                <w:color w:val="auto"/>
              </w:rPr>
            </w:pPr>
          </w:p>
        </w:tc>
      </w:tr>
      <w:tr>
        <w:trPr>
          <w:trHeight w:val="188"/>
        </w:trPr>
        <w:tc>
          <w:tcPr>
            <w:tcW w:w="43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Common shares, EUR 0.20 par value</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NXPI</w:t>
            </w:r>
          </w:p>
        </w:tc>
        <w:tc>
          <w:tcPr>
            <w:tcW w:w="4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The Nasdaq Global Select Market</w:t>
            </w:r>
          </w:p>
        </w:tc>
      </w:tr>
      <w:tr>
        <w:trPr>
          <w:trHeight w:val="36"/>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4860" w:type="dxa"/>
            <w:vAlign w:val="bottom"/>
            <w:tcBorders>
              <w:bottom w:val="single" w:sz="8" w:color="auto"/>
              <w:right w:val="single" w:sz="8" w:color="auto"/>
            </w:tcBorders>
          </w:tcPr>
          <w:p>
            <w:pPr>
              <w:spacing w:after="0"/>
              <w:rPr>
                <w:sz w:val="3"/>
                <w:szCs w:val="3"/>
                <w:color w:val="auto"/>
              </w:rPr>
            </w:pPr>
          </w:p>
        </w:tc>
      </w:tr>
    </w:tbl>
    <w:p>
      <w:pPr>
        <w:spacing w:after="0" w:line="265" w:lineRule="exact"/>
        <w:rPr>
          <w:sz w:val="24"/>
          <w:szCs w:val="24"/>
          <w:color w:val="auto"/>
        </w:rPr>
      </w:pPr>
    </w:p>
    <w:p>
      <w:pPr>
        <w:jc w:val="both"/>
        <w:ind w:right="20"/>
        <w:spacing w:after="0" w:line="298"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20"/>
        <w:spacing w:after="0" w:line="173"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5"/>
          <w:szCs w:val="15"/>
          <w:color w:val="auto"/>
        </w:rPr>
        <w:t>☐</w:t>
      </w:r>
    </w:p>
    <w:p>
      <w:pPr>
        <w:spacing w:after="0" w:line="103" w:lineRule="exact"/>
        <w:rPr>
          <w:sz w:val="24"/>
          <w:szCs w:val="24"/>
          <w:color w:val="auto"/>
        </w:rPr>
      </w:pPr>
    </w:p>
    <w:p>
      <w:pPr>
        <w:jc w:val="both"/>
        <w:ind w:right="20"/>
        <w:spacing w:after="0" w:line="294"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20"/>
        <w:spacing w:after="0" w:line="173"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5"/>
          <w:szCs w:val="15"/>
          <w:color w:val="auto"/>
        </w:rPr>
        <w:t>☐</w:t>
      </w:r>
    </w:p>
    <w:p>
      <w:pPr>
        <w:spacing w:after="0" w:line="97" w:lineRule="exact"/>
        <w:rPr>
          <w:sz w:val="24"/>
          <w:szCs w:val="24"/>
          <w:color w:val="auto"/>
        </w:rPr>
      </w:pPr>
    </w:p>
    <w:p>
      <w:pPr>
        <w:jc w:val="both"/>
        <w:ind w:right="20"/>
        <w:spacing w:after="0" w:line="34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60"/>
        </w:trPr>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Large accelerated filer</w:t>
            </w:r>
          </w:p>
        </w:tc>
        <w:tc>
          <w:tcPr>
            <w:tcW w:w="1700" w:type="dxa"/>
            <w:vAlign w:val="bottom"/>
          </w:tcPr>
          <w:p>
            <w:pPr>
              <w:ind w:left="1420"/>
              <w:spacing w:after="0" w:line="161" w:lineRule="exact"/>
              <w:rPr>
                <w:sz w:val="20"/>
                <w:szCs w:val="20"/>
                <w:color w:val="auto"/>
              </w:rPr>
            </w:pPr>
            <w:r>
              <w:rPr>
                <w:rFonts w:ascii="MS PGothic" w:cs="MS PGothic" w:eastAsia="MS PGothic" w:hAnsi="MS PGothic"/>
                <w:sz w:val="16"/>
                <w:szCs w:val="16"/>
                <w:color w:val="auto"/>
              </w:rPr>
              <w:t>☒</w:t>
            </w:r>
          </w:p>
        </w:tc>
        <w:tc>
          <w:tcPr>
            <w:tcW w:w="2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Accelerated filer</w:t>
            </w:r>
          </w:p>
        </w:tc>
        <w:tc>
          <w:tcPr>
            <w:tcW w:w="412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r>
      <w:tr>
        <w:trPr>
          <w:trHeight w:val="297"/>
        </w:trPr>
        <w:tc>
          <w:tcPr>
            <w:tcW w:w="2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Non-accelerated filer</w:t>
            </w:r>
          </w:p>
        </w:tc>
        <w:tc>
          <w:tcPr>
            <w:tcW w:w="1700" w:type="dxa"/>
            <w:vAlign w:val="bottom"/>
          </w:tcPr>
          <w:p>
            <w:pPr>
              <w:ind w:left="1420"/>
              <w:spacing w:after="0" w:line="161" w:lineRule="exact"/>
              <w:rPr>
                <w:sz w:val="20"/>
                <w:szCs w:val="20"/>
                <w:color w:val="auto"/>
              </w:rPr>
            </w:pPr>
            <w:r>
              <w:rPr>
                <w:rFonts w:ascii="MS PGothic" w:cs="MS PGothic" w:eastAsia="MS PGothic" w:hAnsi="MS PGothic"/>
                <w:sz w:val="16"/>
                <w:szCs w:val="16"/>
                <w:color w:val="auto"/>
              </w:rPr>
              <w:t>☐</w:t>
            </w:r>
          </w:p>
        </w:tc>
        <w:tc>
          <w:tcPr>
            <w:tcW w:w="2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12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r>
      <w:tr>
        <w:trPr>
          <w:trHeight w:val="297"/>
        </w:trPr>
        <w:tc>
          <w:tcPr>
            <w:tcW w:w="2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Emerging growth company</w:t>
            </w:r>
          </w:p>
        </w:tc>
        <w:tc>
          <w:tcPr>
            <w:tcW w:w="412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r>
      <w:tr>
        <w:trPr>
          <w:trHeight w:val="1151"/>
        </w:trPr>
        <w:tc>
          <w:tcPr>
            <w:tcW w:w="26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359" w:right="299" w:bottom="1440" w:gutter="0" w:footer="0" w:header="0"/>
          <w:type w:val="continuous"/>
        </w:sectPr>
      </w:pPr>
    </w:p>
    <w:bookmarkStart w:id="1" w:name="page2"/>
    <w:bookmarkEnd w:id="1"/>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21" w:lineRule="exact"/>
        <w:rPr>
          <w:sz w:val="20"/>
          <w:szCs w:val="20"/>
          <w:color w:val="auto"/>
        </w:rPr>
      </w:pPr>
    </w:p>
    <w:p>
      <w:pPr>
        <w:ind w:left="5200"/>
        <w:spacing w:after="0" w:line="173" w:lineRule="exact"/>
        <w:tabs>
          <w:tab w:leader="none" w:pos="57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5"/>
          <w:szCs w:val="15"/>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October 24, 2026, there were 252,052,988 shares of our common stock, €0.20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673735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80010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NXP Semiconductors N.V.</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Quarter Ended September 27, 2026</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0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140" w:type="dxa"/>
            <w:vAlign w:val="bottom"/>
            <w:gridSpan w:val="5"/>
            <w:vMerge w:val="restart"/>
          </w:tcPr>
          <w:p>
            <w:pPr>
              <w:jc w:val="center"/>
              <w:ind w:right="4740"/>
              <w:spacing w:after="0"/>
              <w:rPr>
                <w:sz w:val="20"/>
                <w:szCs w:val="20"/>
                <w:color w:val="auto"/>
              </w:rPr>
            </w:pPr>
            <w:r>
              <w:rPr>
                <w:rFonts w:ascii="Times New Roman" w:cs="Times New Roman" w:eastAsia="Times New Roman" w:hAnsi="Times New Roman"/>
                <w:sz w:val="14"/>
                <w:szCs w:val="14"/>
                <w:b w:val="1"/>
                <w:bCs w:val="1"/>
                <w:color w:val="0000FF"/>
              </w:rPr>
              <w:t>Part I</w:t>
            </w: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14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60" w:type="dxa"/>
            <w:vAlign w:val="bottom"/>
            <w:shd w:val="clear" w:color="auto" w:fill="EFEFEF"/>
          </w:tcPr>
          <w:p>
            <w:pPr>
              <w:spacing w:after="0"/>
              <w:rPr>
                <w:sz w:val="13"/>
                <w:szCs w:val="13"/>
                <w:color w:val="auto"/>
              </w:rPr>
            </w:pPr>
          </w:p>
        </w:tc>
        <w:tc>
          <w:tcPr>
            <w:tcW w:w="400" w:type="dxa"/>
            <w:vAlign w:val="bottom"/>
            <w:shd w:val="clear" w:color="auto" w:fill="EFEFEF"/>
          </w:tcPr>
          <w:p>
            <w:pPr>
              <w:spacing w:after="0"/>
              <w:rPr>
                <w:sz w:val="13"/>
                <w:szCs w:val="13"/>
                <w:color w:val="auto"/>
              </w:rPr>
            </w:pPr>
          </w:p>
        </w:tc>
        <w:tc>
          <w:tcPr>
            <w:tcW w:w="100" w:type="dxa"/>
            <w:vAlign w:val="bottom"/>
            <w:shd w:val="clear" w:color="auto" w:fill="EFEFEF"/>
          </w:tcPr>
          <w:p>
            <w:pPr>
              <w:spacing w:after="0"/>
              <w:rPr>
                <w:sz w:val="13"/>
                <w:szCs w:val="13"/>
                <w:color w:val="auto"/>
              </w:rPr>
            </w:pPr>
          </w:p>
        </w:tc>
        <w:tc>
          <w:tcPr>
            <w:tcW w:w="1000" w:type="dxa"/>
            <w:vAlign w:val="bottom"/>
            <w:shd w:val="clear" w:color="auto" w:fill="EFEFEF"/>
          </w:tcPr>
          <w:p>
            <w:pPr>
              <w:spacing w:after="0"/>
              <w:rPr>
                <w:sz w:val="13"/>
                <w:szCs w:val="13"/>
                <w:color w:val="auto"/>
              </w:rPr>
            </w:pPr>
          </w:p>
        </w:tc>
        <w:tc>
          <w:tcPr>
            <w:tcW w:w="9020" w:type="dxa"/>
            <w:vAlign w:val="bottom"/>
            <w:gridSpan w:val="13"/>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rPr>
              <w:t>Introduction and Forward Looking Statements</w:t>
            </w:r>
          </w:p>
        </w:tc>
        <w:tc>
          <w:tcPr>
            <w:tcW w:w="420" w:type="dxa"/>
            <w:vAlign w:val="bottom"/>
            <w:gridSpan w:val="2"/>
            <w:shd w:val="clear" w:color="auto" w:fill="EFEFEF"/>
          </w:tcPr>
          <w:p>
            <w:pPr>
              <w:jc w:val="center"/>
              <w:ind w:left="211"/>
              <w:spacing w:after="0" w:line="159" w:lineRule="exact"/>
              <w:rPr>
                <w:sz w:val="20"/>
                <w:szCs w:val="20"/>
                <w:color w:val="auto"/>
              </w:rPr>
            </w:pPr>
            <w:r>
              <w:rPr>
                <w:rFonts w:ascii="Times New Roman" w:cs="Times New Roman" w:eastAsia="Times New Roman" w:hAnsi="Times New Roman"/>
                <w:sz w:val="14"/>
                <w:szCs w:val="14"/>
                <w:color w:val="0000FF"/>
                <w:w w:val="85"/>
              </w:rPr>
              <w:t>1</w:t>
            </w:r>
          </w:p>
        </w:tc>
        <w:tc>
          <w:tcPr>
            <w:tcW w:w="280" w:type="dxa"/>
            <w:vAlign w:val="bottom"/>
            <w:shd w:val="clear" w:color="auto" w:fill="EFEFE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60" w:type="dxa"/>
            <w:vAlign w:val="bottom"/>
            <w:shd w:val="clear" w:color="auto" w:fill="EFEFEF"/>
          </w:tcPr>
          <w:p>
            <w:pPr>
              <w:spacing w:after="0"/>
              <w:rPr>
                <w:sz w:val="2"/>
                <w:szCs w:val="2"/>
                <w:color w:val="auto"/>
              </w:rPr>
            </w:pPr>
          </w:p>
        </w:tc>
        <w:tc>
          <w:tcPr>
            <w:tcW w:w="400" w:type="dxa"/>
            <w:vAlign w:val="bottom"/>
            <w:shd w:val="clear" w:color="auto" w:fill="EFEFEF"/>
          </w:tcPr>
          <w:p>
            <w:pPr>
              <w:spacing w:after="0"/>
              <w:rPr>
                <w:sz w:val="2"/>
                <w:szCs w:val="2"/>
                <w:color w:val="auto"/>
              </w:rPr>
            </w:pPr>
          </w:p>
        </w:tc>
        <w:tc>
          <w:tcPr>
            <w:tcW w:w="100" w:type="dxa"/>
            <w:vAlign w:val="bottom"/>
            <w:shd w:val="clear" w:color="auto" w:fill="EFEFEF"/>
          </w:tcPr>
          <w:p>
            <w:pPr>
              <w:spacing w:after="0"/>
              <w:rPr>
                <w:sz w:val="2"/>
                <w:szCs w:val="2"/>
                <w:color w:val="auto"/>
              </w:rPr>
            </w:pPr>
          </w:p>
        </w:tc>
        <w:tc>
          <w:tcPr>
            <w:tcW w:w="1000" w:type="dxa"/>
            <w:vAlign w:val="bottom"/>
            <w:shd w:val="clear" w:color="auto" w:fill="EFEFE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800" w:type="dxa"/>
            <w:vAlign w:val="bottom"/>
            <w:shd w:val="clear" w:color="auto" w:fill="EFEFEF"/>
          </w:tcPr>
          <w:p>
            <w:pPr>
              <w:spacing w:after="0"/>
              <w:rPr>
                <w:sz w:val="2"/>
                <w:szCs w:val="2"/>
                <w:color w:val="auto"/>
              </w:rPr>
            </w:pPr>
          </w:p>
        </w:tc>
        <w:tc>
          <w:tcPr>
            <w:tcW w:w="460" w:type="dxa"/>
            <w:vAlign w:val="bottom"/>
            <w:shd w:val="clear" w:color="auto" w:fill="EFEFEF"/>
          </w:tcPr>
          <w:p>
            <w:pPr>
              <w:spacing w:after="0"/>
              <w:rPr>
                <w:sz w:val="2"/>
                <w:szCs w:val="2"/>
                <w:color w:val="auto"/>
              </w:rPr>
            </w:pPr>
          </w:p>
        </w:tc>
        <w:tc>
          <w:tcPr>
            <w:tcW w:w="20" w:type="dxa"/>
            <w:vAlign w:val="bottom"/>
            <w:shd w:val="clear" w:color="auto" w:fill="EFEFEF"/>
          </w:tcPr>
          <w:p>
            <w:pPr>
              <w:spacing w:after="0"/>
              <w:rPr>
                <w:sz w:val="2"/>
                <w:szCs w:val="2"/>
                <w:color w:val="auto"/>
              </w:rPr>
            </w:pPr>
          </w:p>
        </w:tc>
        <w:tc>
          <w:tcPr>
            <w:tcW w:w="360" w:type="dxa"/>
            <w:vAlign w:val="bottom"/>
            <w:shd w:val="clear" w:color="auto" w:fill="EFEFEF"/>
          </w:tcPr>
          <w:p>
            <w:pPr>
              <w:spacing w:after="0"/>
              <w:rPr>
                <w:sz w:val="2"/>
                <w:szCs w:val="2"/>
                <w:color w:val="auto"/>
              </w:rPr>
            </w:pPr>
          </w:p>
        </w:tc>
        <w:tc>
          <w:tcPr>
            <w:tcW w:w="40" w:type="dxa"/>
            <w:vAlign w:val="bottom"/>
            <w:shd w:val="clear" w:color="auto" w:fill="EFEFEF"/>
          </w:tcPr>
          <w:p>
            <w:pPr>
              <w:spacing w:after="0"/>
              <w:rPr>
                <w:sz w:val="2"/>
                <w:szCs w:val="2"/>
                <w:color w:val="auto"/>
              </w:rPr>
            </w:pPr>
          </w:p>
        </w:tc>
        <w:tc>
          <w:tcPr>
            <w:tcW w:w="780" w:type="dxa"/>
            <w:vAlign w:val="bottom"/>
            <w:shd w:val="clear" w:color="auto" w:fill="EFEFEF"/>
          </w:tcPr>
          <w:p>
            <w:pPr>
              <w:spacing w:after="0"/>
              <w:rPr>
                <w:sz w:val="2"/>
                <w:szCs w:val="2"/>
                <w:color w:val="auto"/>
              </w:rPr>
            </w:pPr>
          </w:p>
        </w:tc>
        <w:tc>
          <w:tcPr>
            <w:tcW w:w="3940" w:type="dxa"/>
            <w:vAlign w:val="bottom"/>
            <w:shd w:val="clear" w:color="auto" w:fill="EFEFEF"/>
          </w:tcPr>
          <w:p>
            <w:pPr>
              <w:spacing w:after="0"/>
              <w:rPr>
                <w:sz w:val="2"/>
                <w:szCs w:val="2"/>
                <w:color w:val="auto"/>
              </w:rPr>
            </w:pPr>
          </w:p>
        </w:tc>
        <w:tc>
          <w:tcPr>
            <w:tcW w:w="320" w:type="dxa"/>
            <w:vAlign w:val="bottom"/>
            <w:tcBorders>
              <w:right w:val="single" w:sz="8" w:color="EFEFEF"/>
            </w:tcBorders>
            <w:shd w:val="clear" w:color="auto" w:fill="EFEFEF"/>
          </w:tcPr>
          <w:p>
            <w:pPr>
              <w:spacing w:after="0"/>
              <w:rPr>
                <w:sz w:val="2"/>
                <w:szCs w:val="2"/>
                <w:color w:val="auto"/>
              </w:rPr>
            </w:pPr>
          </w:p>
        </w:tc>
        <w:tc>
          <w:tcPr>
            <w:tcW w:w="100" w:type="dxa"/>
            <w:vAlign w:val="bottom"/>
            <w:tcBorders>
              <w:left w:val="single" w:sz="8" w:color="0000FF"/>
            </w:tcBorders>
            <w:shd w:val="clear" w:color="auto" w:fill="EFEFEF"/>
          </w:tcPr>
          <w:p>
            <w:pPr>
              <w:spacing w:after="0"/>
              <w:rPr>
                <w:sz w:val="2"/>
                <w:szCs w:val="2"/>
                <w:color w:val="auto"/>
              </w:rPr>
            </w:pPr>
          </w:p>
        </w:tc>
        <w:tc>
          <w:tcPr>
            <w:tcW w:w="280" w:type="dxa"/>
            <w:vAlign w:val="bottom"/>
            <w:shd w:val="clear" w:color="auto" w:fill="EFEF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6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w:t>
            </w:r>
          </w:p>
        </w:tc>
        <w:tc>
          <w:tcPr>
            <w:tcW w:w="26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Financial Statements</w:t>
            </w:r>
          </w:p>
        </w:tc>
        <w:tc>
          <w:tcPr>
            <w:tcW w:w="6400" w:type="dxa"/>
            <w:vAlign w:val="bottom"/>
            <w:gridSpan w:val="7"/>
          </w:tcPr>
          <w:p>
            <w:pPr>
              <w:spacing w:after="0"/>
              <w:rPr>
                <w:sz w:val="16"/>
                <w:szCs w:val="16"/>
                <w:color w:val="auto"/>
              </w:rPr>
            </w:pPr>
          </w:p>
        </w:tc>
        <w:tc>
          <w:tcPr>
            <w:tcW w:w="420" w:type="dxa"/>
            <w:vAlign w:val="bottom"/>
            <w:gridSpan w:val="2"/>
          </w:tcPr>
          <w:p>
            <w:pPr>
              <w:jc w:val="center"/>
              <w:ind w:left="211"/>
              <w:spacing w:after="0"/>
              <w:rPr>
                <w:sz w:val="20"/>
                <w:szCs w:val="20"/>
                <w:color w:val="auto"/>
              </w:rPr>
            </w:pPr>
            <w:r>
              <w:rPr>
                <w:rFonts w:ascii="Times New Roman" w:cs="Times New Roman" w:eastAsia="Times New Roman" w:hAnsi="Times New Roman"/>
                <w:sz w:val="14"/>
                <w:szCs w:val="14"/>
                <w:color w:val="0000FF"/>
                <w:w w:val="85"/>
              </w:rPr>
              <w:t>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 w:type="dxa"/>
            <w:vAlign w:val="bottom"/>
            <w:tcBorders>
              <w:bottom w:val="single" w:sz="8" w:color="EFEFEF"/>
            </w:tcBorders>
            <w:shd w:val="clear" w:color="auto" w:fill="EFEFEF"/>
          </w:tcPr>
          <w:p>
            <w:pPr>
              <w:spacing w:after="0"/>
              <w:rPr>
                <w:sz w:val="17"/>
                <w:szCs w:val="17"/>
                <w:color w:val="auto"/>
              </w:rPr>
            </w:pPr>
          </w:p>
        </w:tc>
        <w:tc>
          <w:tcPr>
            <w:tcW w:w="400" w:type="dxa"/>
            <w:vAlign w:val="bottom"/>
            <w:tcBorders>
              <w:bottom w:val="single" w:sz="8" w:color="0000FF"/>
            </w:tcBorders>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w w:val="95"/>
              </w:rPr>
              <w:t>Item 2.</w:t>
            </w:r>
          </w:p>
        </w:tc>
        <w:tc>
          <w:tcPr>
            <w:tcW w:w="1100" w:type="dxa"/>
            <w:vAlign w:val="bottom"/>
            <w:tcBorders>
              <w:bottom w:val="single" w:sz="8" w:color="EFEFEF"/>
            </w:tcBorders>
            <w:gridSpan w:val="2"/>
            <w:shd w:val="clear" w:color="auto" w:fill="EFEFEF"/>
          </w:tcPr>
          <w:p>
            <w:pPr>
              <w:spacing w:after="0"/>
              <w:rPr>
                <w:sz w:val="17"/>
                <w:szCs w:val="17"/>
                <w:color w:val="auto"/>
              </w:rPr>
            </w:pPr>
          </w:p>
        </w:tc>
        <w:tc>
          <w:tcPr>
            <w:tcW w:w="5080" w:type="dxa"/>
            <w:vAlign w:val="bottom"/>
            <w:tcBorders>
              <w:bottom w:val="single" w:sz="8" w:color="0000FF"/>
            </w:tcBorders>
            <w:gridSpan w:val="12"/>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940" w:type="dxa"/>
            <w:vAlign w:val="bottom"/>
            <w:tcBorders>
              <w:bottom w:val="single" w:sz="8" w:color="EFEFEF"/>
            </w:tcBorders>
            <w:shd w:val="clear" w:color="auto" w:fill="EFEFEF"/>
          </w:tcPr>
          <w:p>
            <w:pPr>
              <w:spacing w:after="0"/>
              <w:rPr>
                <w:sz w:val="17"/>
                <w:szCs w:val="17"/>
                <w:color w:val="auto"/>
              </w:rPr>
            </w:pPr>
          </w:p>
        </w:tc>
        <w:tc>
          <w:tcPr>
            <w:tcW w:w="320" w:type="dxa"/>
            <w:vAlign w:val="bottom"/>
            <w:tcBorders>
              <w:bottom w:val="single" w:sz="8" w:color="EFEFEF"/>
              <w:right w:val="single" w:sz="8" w:color="EFEFEF"/>
            </w:tcBorders>
            <w:shd w:val="clear" w:color="auto" w:fill="EFEFEF"/>
          </w:tcPr>
          <w:p>
            <w:pPr>
              <w:spacing w:after="0"/>
              <w:rPr>
                <w:sz w:val="17"/>
                <w:szCs w:val="17"/>
                <w:color w:val="auto"/>
              </w:rPr>
            </w:pPr>
          </w:p>
        </w:tc>
        <w:tc>
          <w:tcPr>
            <w:tcW w:w="100" w:type="dxa"/>
            <w:vAlign w:val="bottom"/>
            <w:tcBorders>
              <w:left w:val="single" w:sz="8" w:color="EFEFEF"/>
              <w:bottom w:val="single" w:sz="8" w:color="0000FF"/>
            </w:tcBorders>
            <w:shd w:val="clear" w:color="auto" w:fill="EFEFEF"/>
          </w:tcPr>
          <w:p>
            <w:pPr>
              <w:jc w:val="center"/>
              <w:spacing w:after="0" w:line="159" w:lineRule="exact"/>
              <w:rPr>
                <w:sz w:val="20"/>
                <w:szCs w:val="20"/>
                <w:color w:val="auto"/>
              </w:rPr>
            </w:pPr>
            <w:r>
              <w:rPr>
                <w:rFonts w:ascii="Times New Roman" w:cs="Times New Roman" w:eastAsia="Times New Roman" w:hAnsi="Times New Roman"/>
                <w:sz w:val="14"/>
                <w:szCs w:val="14"/>
                <w:color w:val="0000FF"/>
                <w:w w:val="71"/>
              </w:rPr>
              <w:t>22</w:t>
            </w:r>
          </w:p>
        </w:tc>
        <w:tc>
          <w:tcPr>
            <w:tcW w:w="280" w:type="dxa"/>
            <w:vAlign w:val="bottom"/>
            <w:tcBorders>
              <w:bottom w:val="single" w:sz="8" w:color="EFEFEF"/>
            </w:tcBorders>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15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0000FF"/>
              </w:rPr>
              <w:t>Item 3.</w:t>
            </w:r>
          </w:p>
        </w:tc>
        <w:tc>
          <w:tcPr>
            <w:tcW w:w="9020" w:type="dxa"/>
            <w:vAlign w:val="bottom"/>
            <w:gridSpan w:val="13"/>
          </w:tcPr>
          <w:p>
            <w:pPr>
              <w:spacing w:after="0" w:line="15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20" w:type="dxa"/>
            <w:vAlign w:val="bottom"/>
            <w:gridSpan w:val="2"/>
          </w:tcPr>
          <w:p>
            <w:pPr>
              <w:jc w:val="center"/>
              <w:ind w:left="211"/>
              <w:spacing w:after="0" w:line="159" w:lineRule="exact"/>
              <w:rPr>
                <w:sz w:val="20"/>
                <w:szCs w:val="20"/>
                <w:color w:val="auto"/>
              </w:rPr>
            </w:pPr>
            <w:r>
              <w:rPr>
                <w:rFonts w:ascii="Times New Roman" w:cs="Times New Roman" w:eastAsia="Times New Roman" w:hAnsi="Times New Roman"/>
                <w:sz w:val="14"/>
                <w:szCs w:val="14"/>
                <w:color w:val="0000FF"/>
                <w:w w:val="99"/>
              </w:rPr>
              <w:t>38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24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EFEFEF"/>
          </w:tcPr>
          <w:p>
            <w:pPr>
              <w:spacing w:after="0"/>
              <w:rPr>
                <w:sz w:val="17"/>
                <w:szCs w:val="17"/>
                <w:color w:val="auto"/>
              </w:rPr>
            </w:pPr>
          </w:p>
        </w:tc>
        <w:tc>
          <w:tcPr>
            <w:tcW w:w="1500" w:type="dxa"/>
            <w:vAlign w:val="bottom"/>
            <w:gridSpan w:val="3"/>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rPr>
              <w:t>Item 4.</w:t>
            </w:r>
          </w:p>
        </w:tc>
        <w:tc>
          <w:tcPr>
            <w:tcW w:w="9020" w:type="dxa"/>
            <w:vAlign w:val="bottom"/>
            <w:gridSpan w:val="13"/>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rPr>
              <w:t>Controls and Procedures</w:t>
            </w:r>
          </w:p>
        </w:tc>
        <w:tc>
          <w:tcPr>
            <w:tcW w:w="420" w:type="dxa"/>
            <w:vAlign w:val="bottom"/>
            <w:gridSpan w:val="2"/>
            <w:shd w:val="clear" w:color="auto" w:fill="EFEFEF"/>
          </w:tcPr>
          <w:p>
            <w:pPr>
              <w:jc w:val="center"/>
              <w:ind w:left="211"/>
              <w:spacing w:after="0" w:line="159" w:lineRule="exact"/>
              <w:rPr>
                <w:sz w:val="20"/>
                <w:szCs w:val="20"/>
                <w:color w:val="auto"/>
              </w:rPr>
            </w:pPr>
            <w:r>
              <w:rPr>
                <w:rFonts w:ascii="Times New Roman" w:cs="Times New Roman" w:eastAsia="Times New Roman" w:hAnsi="Times New Roman"/>
                <w:sz w:val="14"/>
                <w:szCs w:val="14"/>
                <w:color w:val="0000FF"/>
                <w:w w:val="99"/>
              </w:rPr>
              <w:t>38</w:t>
            </w:r>
          </w:p>
        </w:tc>
        <w:tc>
          <w:tcPr>
            <w:tcW w:w="28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60" w:type="dxa"/>
            <w:vAlign w:val="bottom"/>
            <w:tcBorders>
              <w:top w:val="single" w:sz="8" w:color="EFEFE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EFEFEF"/>
            </w:tcBorders>
          </w:tcPr>
          <w:p>
            <w:pPr>
              <w:spacing w:after="0"/>
              <w:rPr>
                <w:sz w:val="24"/>
                <w:szCs w:val="24"/>
                <w:color w:val="auto"/>
              </w:rPr>
            </w:pPr>
          </w:p>
        </w:tc>
        <w:tc>
          <w:tcPr>
            <w:tcW w:w="1000" w:type="dxa"/>
            <w:vAlign w:val="bottom"/>
            <w:tcBorders>
              <w:top w:val="single" w:sz="8" w:color="EFEFE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40" w:type="dxa"/>
            <w:vAlign w:val="bottom"/>
            <w:tcBorders>
              <w:top w:val="single" w:sz="8" w:color="EFEFEF"/>
            </w:tcBorders>
          </w:tcPr>
          <w:p>
            <w:pPr>
              <w:spacing w:after="0"/>
              <w:rPr>
                <w:sz w:val="24"/>
                <w:szCs w:val="24"/>
                <w:color w:val="auto"/>
              </w:rPr>
            </w:pPr>
          </w:p>
        </w:tc>
        <w:tc>
          <w:tcPr>
            <w:tcW w:w="800" w:type="dxa"/>
            <w:vAlign w:val="bottom"/>
            <w:tcBorders>
              <w:top w:val="single" w:sz="8" w:color="EFEFEF"/>
            </w:tcBorders>
          </w:tcPr>
          <w:p>
            <w:pPr>
              <w:spacing w:after="0"/>
              <w:rPr>
                <w:sz w:val="24"/>
                <w:szCs w:val="24"/>
                <w:color w:val="auto"/>
              </w:rPr>
            </w:pPr>
          </w:p>
        </w:tc>
        <w:tc>
          <w:tcPr>
            <w:tcW w:w="460" w:type="dxa"/>
            <w:vAlign w:val="bottom"/>
            <w:tcBorders>
              <w:top w:val="single" w:sz="8" w:color="EFEFEF"/>
            </w:tcBorders>
          </w:tcPr>
          <w:p>
            <w:pPr>
              <w:spacing w:after="0"/>
              <w:rPr>
                <w:sz w:val="24"/>
                <w:szCs w:val="24"/>
                <w:color w:val="auto"/>
              </w:rPr>
            </w:pPr>
          </w:p>
        </w:tc>
        <w:tc>
          <w:tcPr>
            <w:tcW w:w="5140" w:type="dxa"/>
            <w:vAlign w:val="bottom"/>
            <w:tcBorders>
              <w:top w:val="single" w:sz="8" w:color="EFEFEF"/>
            </w:tcBorders>
            <w:gridSpan w:val="5"/>
          </w:tcPr>
          <w:p>
            <w:pPr>
              <w:jc w:val="center"/>
              <w:ind w:right="4720"/>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320" w:type="dxa"/>
            <w:vAlign w:val="bottom"/>
            <w:tcBorders>
              <w:top w:val="single" w:sz="8" w:color="EFEFE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EFEFE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7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60" w:type="dxa"/>
            <w:vAlign w:val="bottom"/>
            <w:shd w:val="clear" w:color="auto" w:fill="EFEFEF"/>
          </w:tcPr>
          <w:p>
            <w:pPr>
              <w:spacing w:after="0"/>
              <w:rPr>
                <w:sz w:val="13"/>
                <w:szCs w:val="13"/>
                <w:color w:val="auto"/>
              </w:rPr>
            </w:pPr>
          </w:p>
        </w:tc>
        <w:tc>
          <w:tcPr>
            <w:tcW w:w="400" w:type="dxa"/>
            <w:vAlign w:val="bottom"/>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w w:val="95"/>
              </w:rPr>
              <w:t>Item 1.</w:t>
            </w:r>
          </w:p>
        </w:tc>
        <w:tc>
          <w:tcPr>
            <w:tcW w:w="1100" w:type="dxa"/>
            <w:vAlign w:val="bottom"/>
            <w:gridSpan w:val="2"/>
            <w:shd w:val="clear" w:color="auto" w:fill="EFEFEF"/>
          </w:tcPr>
          <w:p>
            <w:pPr>
              <w:spacing w:after="0"/>
              <w:rPr>
                <w:sz w:val="13"/>
                <w:szCs w:val="13"/>
                <w:color w:val="auto"/>
              </w:rPr>
            </w:pPr>
          </w:p>
        </w:tc>
        <w:tc>
          <w:tcPr>
            <w:tcW w:w="9020" w:type="dxa"/>
            <w:vAlign w:val="bottom"/>
            <w:gridSpan w:val="13"/>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rPr>
              <w:t>Legal Proceedings</w:t>
            </w:r>
          </w:p>
        </w:tc>
        <w:tc>
          <w:tcPr>
            <w:tcW w:w="420" w:type="dxa"/>
            <w:vAlign w:val="bottom"/>
            <w:gridSpan w:val="2"/>
            <w:shd w:val="clear" w:color="auto" w:fill="EFEFEF"/>
          </w:tcPr>
          <w:p>
            <w:pPr>
              <w:jc w:val="center"/>
              <w:ind w:left="211"/>
              <w:spacing w:after="0" w:line="159" w:lineRule="exact"/>
              <w:rPr>
                <w:sz w:val="20"/>
                <w:szCs w:val="20"/>
                <w:color w:val="auto"/>
              </w:rPr>
            </w:pPr>
            <w:r>
              <w:rPr>
                <w:rFonts w:ascii="Times New Roman" w:cs="Times New Roman" w:eastAsia="Times New Roman" w:hAnsi="Times New Roman"/>
                <w:sz w:val="14"/>
                <w:szCs w:val="14"/>
                <w:color w:val="0000FF"/>
                <w:w w:val="99"/>
              </w:rPr>
              <w:t>39</w:t>
            </w:r>
          </w:p>
        </w:tc>
        <w:tc>
          <w:tcPr>
            <w:tcW w:w="280" w:type="dxa"/>
            <w:vAlign w:val="bottom"/>
            <w:shd w:val="clear" w:color="auto" w:fill="EFEFEF"/>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0" w:type="dxa"/>
            <w:vAlign w:val="bottom"/>
            <w:tcBorders>
              <w:top w:val="single" w:sz="8" w:color="EFEFEF"/>
            </w:tcBorders>
            <w:shd w:val="clear" w:color="auto" w:fill="EFEFEF"/>
          </w:tcPr>
          <w:p>
            <w:pPr>
              <w:spacing w:after="0"/>
              <w:rPr>
                <w:sz w:val="3"/>
                <w:szCs w:val="3"/>
                <w:color w:val="auto"/>
              </w:rPr>
            </w:pPr>
          </w:p>
        </w:tc>
        <w:tc>
          <w:tcPr>
            <w:tcW w:w="400" w:type="dxa"/>
            <w:vAlign w:val="bottom"/>
            <w:tcBorders>
              <w:top w:val="single" w:sz="8" w:color="0000FF"/>
            </w:tcBorders>
            <w:shd w:val="clear" w:color="auto" w:fill="EFEFEF"/>
          </w:tcPr>
          <w:p>
            <w:pPr>
              <w:spacing w:after="0"/>
              <w:rPr>
                <w:sz w:val="3"/>
                <w:szCs w:val="3"/>
                <w:color w:val="auto"/>
              </w:rPr>
            </w:pPr>
          </w:p>
        </w:tc>
        <w:tc>
          <w:tcPr>
            <w:tcW w:w="100" w:type="dxa"/>
            <w:vAlign w:val="bottom"/>
            <w:tcBorders>
              <w:top w:val="single" w:sz="8" w:color="EFEFEF"/>
            </w:tcBorders>
            <w:shd w:val="clear" w:color="auto" w:fill="EFEFEF"/>
          </w:tcPr>
          <w:p>
            <w:pPr>
              <w:spacing w:after="0"/>
              <w:rPr>
                <w:sz w:val="3"/>
                <w:szCs w:val="3"/>
                <w:color w:val="auto"/>
              </w:rPr>
            </w:pPr>
          </w:p>
        </w:tc>
        <w:tc>
          <w:tcPr>
            <w:tcW w:w="1000" w:type="dxa"/>
            <w:vAlign w:val="bottom"/>
            <w:tcBorders>
              <w:top w:val="single" w:sz="8" w:color="EFEFEF"/>
            </w:tcBorders>
            <w:shd w:val="clear" w:color="auto" w:fill="EFEFEF"/>
          </w:tcPr>
          <w:p>
            <w:pPr>
              <w:spacing w:after="0"/>
              <w:rPr>
                <w:sz w:val="3"/>
                <w:szCs w:val="3"/>
                <w:color w:val="auto"/>
              </w:rPr>
            </w:pPr>
          </w:p>
        </w:tc>
        <w:tc>
          <w:tcPr>
            <w:tcW w:w="460" w:type="dxa"/>
            <w:vAlign w:val="bottom"/>
            <w:tcBorders>
              <w:top w:val="single" w:sz="8" w:color="0000FF"/>
            </w:tcBorders>
            <w:shd w:val="clear" w:color="auto" w:fill="EFEFEF"/>
          </w:tcPr>
          <w:p>
            <w:pPr>
              <w:spacing w:after="0"/>
              <w:rPr>
                <w:sz w:val="3"/>
                <w:szCs w:val="3"/>
                <w:color w:val="auto"/>
              </w:rPr>
            </w:pPr>
          </w:p>
        </w:tc>
        <w:tc>
          <w:tcPr>
            <w:tcW w:w="240" w:type="dxa"/>
            <w:vAlign w:val="bottom"/>
            <w:tcBorders>
              <w:top w:val="single" w:sz="8" w:color="0000FF"/>
            </w:tcBorders>
            <w:shd w:val="clear" w:color="auto" w:fill="EFEFEF"/>
          </w:tcPr>
          <w:p>
            <w:pPr>
              <w:spacing w:after="0"/>
              <w:rPr>
                <w:sz w:val="3"/>
                <w:szCs w:val="3"/>
                <w:color w:val="auto"/>
              </w:rPr>
            </w:pPr>
          </w:p>
        </w:tc>
        <w:tc>
          <w:tcPr>
            <w:tcW w:w="340" w:type="dxa"/>
            <w:vAlign w:val="bottom"/>
            <w:tcBorders>
              <w:top w:val="single" w:sz="8" w:color="0000FF"/>
            </w:tcBorders>
            <w:shd w:val="clear" w:color="auto" w:fill="EFEFEF"/>
          </w:tcPr>
          <w:p>
            <w:pPr>
              <w:spacing w:after="0"/>
              <w:rPr>
                <w:sz w:val="3"/>
                <w:szCs w:val="3"/>
                <w:color w:val="auto"/>
              </w:rPr>
            </w:pPr>
          </w:p>
        </w:tc>
        <w:tc>
          <w:tcPr>
            <w:tcW w:w="140" w:type="dxa"/>
            <w:vAlign w:val="bottom"/>
            <w:tcBorders>
              <w:top w:val="single" w:sz="8" w:color="EFEFEF"/>
            </w:tcBorders>
            <w:shd w:val="clear" w:color="auto" w:fill="EFEFEF"/>
          </w:tcPr>
          <w:p>
            <w:pPr>
              <w:spacing w:after="0"/>
              <w:rPr>
                <w:sz w:val="3"/>
                <w:szCs w:val="3"/>
                <w:color w:val="auto"/>
              </w:rPr>
            </w:pPr>
          </w:p>
        </w:tc>
        <w:tc>
          <w:tcPr>
            <w:tcW w:w="200" w:type="dxa"/>
            <w:vAlign w:val="bottom"/>
            <w:tcBorders>
              <w:top w:val="single" w:sz="8" w:color="EFEFEF"/>
            </w:tcBorders>
            <w:shd w:val="clear" w:color="auto" w:fill="EFEFEF"/>
          </w:tcPr>
          <w:p>
            <w:pPr>
              <w:spacing w:after="0"/>
              <w:rPr>
                <w:sz w:val="3"/>
                <w:szCs w:val="3"/>
                <w:color w:val="auto"/>
              </w:rPr>
            </w:pPr>
          </w:p>
        </w:tc>
        <w:tc>
          <w:tcPr>
            <w:tcW w:w="1240" w:type="dxa"/>
            <w:vAlign w:val="bottom"/>
            <w:tcBorders>
              <w:top w:val="single" w:sz="8" w:color="EFEFEF"/>
            </w:tcBorders>
            <w:shd w:val="clear" w:color="auto" w:fill="EFEFEF"/>
          </w:tcPr>
          <w:p>
            <w:pPr>
              <w:spacing w:after="0"/>
              <w:rPr>
                <w:sz w:val="3"/>
                <w:szCs w:val="3"/>
                <w:color w:val="auto"/>
              </w:rPr>
            </w:pPr>
          </w:p>
        </w:tc>
        <w:tc>
          <w:tcPr>
            <w:tcW w:w="800" w:type="dxa"/>
            <w:vAlign w:val="bottom"/>
            <w:tcBorders>
              <w:top w:val="single" w:sz="8" w:color="EFEFEF"/>
            </w:tcBorders>
            <w:shd w:val="clear" w:color="auto" w:fill="EFEFEF"/>
          </w:tcPr>
          <w:p>
            <w:pPr>
              <w:spacing w:after="0"/>
              <w:rPr>
                <w:sz w:val="3"/>
                <w:szCs w:val="3"/>
                <w:color w:val="auto"/>
              </w:rPr>
            </w:pPr>
          </w:p>
        </w:tc>
        <w:tc>
          <w:tcPr>
            <w:tcW w:w="460" w:type="dxa"/>
            <w:vAlign w:val="bottom"/>
            <w:tcBorders>
              <w:top w:val="single" w:sz="8" w:color="EFEFEF"/>
            </w:tcBorders>
            <w:shd w:val="clear" w:color="auto" w:fill="EFEFEF"/>
          </w:tcPr>
          <w:p>
            <w:pPr>
              <w:spacing w:after="0"/>
              <w:rPr>
                <w:sz w:val="3"/>
                <w:szCs w:val="3"/>
                <w:color w:val="auto"/>
              </w:rPr>
            </w:pPr>
          </w:p>
        </w:tc>
        <w:tc>
          <w:tcPr>
            <w:tcW w:w="20" w:type="dxa"/>
            <w:vAlign w:val="bottom"/>
            <w:tcBorders>
              <w:top w:val="single" w:sz="8" w:color="EFEFEF"/>
            </w:tcBorders>
            <w:shd w:val="clear" w:color="auto" w:fill="EFEFEF"/>
          </w:tcPr>
          <w:p>
            <w:pPr>
              <w:spacing w:after="0"/>
              <w:rPr>
                <w:sz w:val="3"/>
                <w:szCs w:val="3"/>
                <w:color w:val="auto"/>
              </w:rPr>
            </w:pPr>
          </w:p>
        </w:tc>
        <w:tc>
          <w:tcPr>
            <w:tcW w:w="360" w:type="dxa"/>
            <w:vAlign w:val="bottom"/>
            <w:tcBorders>
              <w:top w:val="single" w:sz="8" w:color="EFEFEF"/>
            </w:tcBorders>
            <w:shd w:val="clear" w:color="auto" w:fill="EFEFEF"/>
          </w:tcPr>
          <w:p>
            <w:pPr>
              <w:spacing w:after="0"/>
              <w:rPr>
                <w:sz w:val="3"/>
                <w:szCs w:val="3"/>
                <w:color w:val="auto"/>
              </w:rPr>
            </w:pPr>
          </w:p>
        </w:tc>
        <w:tc>
          <w:tcPr>
            <w:tcW w:w="40" w:type="dxa"/>
            <w:vAlign w:val="bottom"/>
            <w:tcBorders>
              <w:top w:val="single" w:sz="8" w:color="EFEFEF"/>
            </w:tcBorders>
            <w:shd w:val="clear" w:color="auto" w:fill="EFEFEF"/>
          </w:tcPr>
          <w:p>
            <w:pPr>
              <w:spacing w:after="0"/>
              <w:rPr>
                <w:sz w:val="3"/>
                <w:szCs w:val="3"/>
                <w:color w:val="auto"/>
              </w:rPr>
            </w:pPr>
          </w:p>
        </w:tc>
        <w:tc>
          <w:tcPr>
            <w:tcW w:w="780" w:type="dxa"/>
            <w:vAlign w:val="bottom"/>
            <w:tcBorders>
              <w:top w:val="single" w:sz="8" w:color="EFEFEF"/>
            </w:tcBorders>
            <w:shd w:val="clear" w:color="auto" w:fill="EFEFEF"/>
          </w:tcPr>
          <w:p>
            <w:pPr>
              <w:spacing w:after="0"/>
              <w:rPr>
                <w:sz w:val="3"/>
                <w:szCs w:val="3"/>
                <w:color w:val="auto"/>
              </w:rPr>
            </w:pPr>
          </w:p>
        </w:tc>
        <w:tc>
          <w:tcPr>
            <w:tcW w:w="3940" w:type="dxa"/>
            <w:vAlign w:val="bottom"/>
            <w:tcBorders>
              <w:top w:val="single" w:sz="8" w:color="EFEFEF"/>
            </w:tcBorders>
            <w:shd w:val="clear" w:color="auto" w:fill="EFEFEF"/>
          </w:tcPr>
          <w:p>
            <w:pPr>
              <w:spacing w:after="0"/>
              <w:rPr>
                <w:sz w:val="3"/>
                <w:szCs w:val="3"/>
                <w:color w:val="auto"/>
              </w:rPr>
            </w:pPr>
          </w:p>
        </w:tc>
        <w:tc>
          <w:tcPr>
            <w:tcW w:w="320" w:type="dxa"/>
            <w:vAlign w:val="bottom"/>
            <w:tcBorders>
              <w:top w:val="single" w:sz="8" w:color="EFEFEF"/>
              <w:right w:val="single" w:sz="8" w:color="EFEFEF"/>
            </w:tcBorders>
            <w:shd w:val="clear" w:color="auto" w:fill="EFEFEF"/>
          </w:tcPr>
          <w:p>
            <w:pPr>
              <w:spacing w:after="0"/>
              <w:rPr>
                <w:sz w:val="3"/>
                <w:szCs w:val="3"/>
                <w:color w:val="auto"/>
              </w:rPr>
            </w:pPr>
          </w:p>
        </w:tc>
        <w:tc>
          <w:tcPr>
            <w:tcW w:w="100" w:type="dxa"/>
            <w:vAlign w:val="bottom"/>
            <w:tcBorders>
              <w:top w:val="single" w:sz="8" w:color="0000FF"/>
              <w:left w:val="single" w:sz="8" w:color="EFEFEF"/>
            </w:tcBorders>
            <w:shd w:val="clear" w:color="auto" w:fill="EFEFEF"/>
          </w:tcPr>
          <w:p>
            <w:pPr>
              <w:spacing w:after="0"/>
              <w:rPr>
                <w:sz w:val="3"/>
                <w:szCs w:val="3"/>
                <w:color w:val="auto"/>
              </w:rPr>
            </w:pPr>
          </w:p>
        </w:tc>
        <w:tc>
          <w:tcPr>
            <w:tcW w:w="280" w:type="dxa"/>
            <w:vAlign w:val="bottom"/>
            <w:tcBorders>
              <w:top w:val="single" w:sz="8" w:color="EFEFEF"/>
            </w:tcBorders>
            <w:shd w:val="clear" w:color="auto" w:fill="EFEFEF"/>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1A.</w:t>
            </w:r>
          </w:p>
        </w:tc>
        <w:tc>
          <w:tcPr>
            <w:tcW w:w="90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420" w:type="dxa"/>
            <w:vAlign w:val="bottom"/>
            <w:gridSpan w:val="2"/>
          </w:tcPr>
          <w:p>
            <w:pPr>
              <w:jc w:val="center"/>
              <w:ind w:left="211"/>
              <w:spacing w:after="0"/>
              <w:rPr>
                <w:sz w:val="20"/>
                <w:szCs w:val="20"/>
                <w:color w:val="auto"/>
              </w:rPr>
            </w:pPr>
            <w:r>
              <w:rPr>
                <w:rFonts w:ascii="Times New Roman" w:cs="Times New Roman" w:eastAsia="Times New Roman" w:hAnsi="Times New Roman"/>
                <w:sz w:val="14"/>
                <w:szCs w:val="14"/>
                <w:color w:val="0000FF"/>
                <w:w w:val="99"/>
              </w:rPr>
              <w:t>39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 w:type="dxa"/>
            <w:vAlign w:val="bottom"/>
            <w:tcBorders>
              <w:bottom w:val="single" w:sz="8" w:color="EFEFEF"/>
            </w:tcBorders>
            <w:shd w:val="clear" w:color="auto" w:fill="EFEFEF"/>
          </w:tcPr>
          <w:p>
            <w:pPr>
              <w:spacing w:after="0"/>
              <w:rPr>
                <w:sz w:val="17"/>
                <w:szCs w:val="17"/>
                <w:color w:val="auto"/>
              </w:rPr>
            </w:pPr>
          </w:p>
        </w:tc>
        <w:tc>
          <w:tcPr>
            <w:tcW w:w="400" w:type="dxa"/>
            <w:vAlign w:val="bottom"/>
            <w:tcBorders>
              <w:bottom w:val="single" w:sz="8" w:color="0000FF"/>
            </w:tcBorders>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w w:val="95"/>
              </w:rPr>
              <w:t>Item 2.</w:t>
            </w:r>
          </w:p>
        </w:tc>
        <w:tc>
          <w:tcPr>
            <w:tcW w:w="1100" w:type="dxa"/>
            <w:vAlign w:val="bottom"/>
            <w:tcBorders>
              <w:bottom w:val="single" w:sz="8" w:color="EFEFEF"/>
            </w:tcBorders>
            <w:gridSpan w:val="2"/>
            <w:shd w:val="clear" w:color="auto" w:fill="EFEFEF"/>
          </w:tcPr>
          <w:p>
            <w:pPr>
              <w:spacing w:after="0"/>
              <w:rPr>
                <w:sz w:val="17"/>
                <w:szCs w:val="17"/>
                <w:color w:val="auto"/>
              </w:rPr>
            </w:pPr>
          </w:p>
        </w:tc>
        <w:tc>
          <w:tcPr>
            <w:tcW w:w="3420" w:type="dxa"/>
            <w:vAlign w:val="bottom"/>
            <w:tcBorders>
              <w:bottom w:val="single" w:sz="8" w:color="0000FF"/>
            </w:tcBorders>
            <w:gridSpan w:val="7"/>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600" w:type="dxa"/>
            <w:vAlign w:val="bottom"/>
            <w:tcBorders>
              <w:bottom w:val="single" w:sz="8" w:color="EFEFEF"/>
            </w:tcBorders>
            <w:gridSpan w:val="6"/>
            <w:shd w:val="clear" w:color="auto" w:fill="EFEFEF"/>
          </w:tcPr>
          <w:p>
            <w:pPr>
              <w:spacing w:after="0"/>
              <w:rPr>
                <w:sz w:val="17"/>
                <w:szCs w:val="17"/>
                <w:color w:val="auto"/>
              </w:rPr>
            </w:pPr>
          </w:p>
        </w:tc>
        <w:tc>
          <w:tcPr>
            <w:tcW w:w="320" w:type="dxa"/>
            <w:vAlign w:val="bottom"/>
            <w:tcBorders>
              <w:bottom w:val="single" w:sz="8" w:color="EFEFEF"/>
              <w:right w:val="single" w:sz="8" w:color="EFEFEF"/>
            </w:tcBorders>
            <w:shd w:val="clear" w:color="auto" w:fill="EFEFEF"/>
          </w:tcPr>
          <w:p>
            <w:pPr>
              <w:spacing w:after="0"/>
              <w:rPr>
                <w:sz w:val="17"/>
                <w:szCs w:val="17"/>
                <w:color w:val="auto"/>
              </w:rPr>
            </w:pPr>
          </w:p>
        </w:tc>
        <w:tc>
          <w:tcPr>
            <w:tcW w:w="100" w:type="dxa"/>
            <w:vAlign w:val="bottom"/>
            <w:tcBorders>
              <w:left w:val="single" w:sz="8" w:color="EFEFEF"/>
              <w:bottom w:val="single" w:sz="8" w:color="0000FF"/>
            </w:tcBorders>
            <w:shd w:val="clear" w:color="auto" w:fill="EFEFEF"/>
          </w:tcPr>
          <w:p>
            <w:pPr>
              <w:jc w:val="center"/>
              <w:spacing w:after="0" w:line="159" w:lineRule="exact"/>
              <w:rPr>
                <w:sz w:val="20"/>
                <w:szCs w:val="20"/>
                <w:color w:val="auto"/>
              </w:rPr>
            </w:pPr>
            <w:r>
              <w:rPr>
                <w:rFonts w:ascii="Times New Roman" w:cs="Times New Roman" w:eastAsia="Times New Roman" w:hAnsi="Times New Roman"/>
                <w:sz w:val="14"/>
                <w:szCs w:val="14"/>
                <w:color w:val="0000FF"/>
                <w:w w:val="71"/>
              </w:rPr>
              <w:t>39</w:t>
            </w:r>
          </w:p>
        </w:tc>
        <w:tc>
          <w:tcPr>
            <w:tcW w:w="280" w:type="dxa"/>
            <w:vAlign w:val="bottom"/>
            <w:tcBorders>
              <w:bottom w:val="single" w:sz="8" w:color="EFEFEF"/>
            </w:tcBorders>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15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0000FF"/>
              </w:rPr>
              <w:t>Item 5.</w:t>
            </w:r>
          </w:p>
        </w:tc>
        <w:tc>
          <w:tcPr>
            <w:tcW w:w="9020" w:type="dxa"/>
            <w:vAlign w:val="bottom"/>
            <w:gridSpan w:val="13"/>
          </w:tcPr>
          <w:p>
            <w:pPr>
              <w:spacing w:after="0" w:line="159" w:lineRule="exact"/>
              <w:rPr>
                <w:sz w:val="20"/>
                <w:szCs w:val="20"/>
                <w:color w:val="auto"/>
              </w:rPr>
            </w:pPr>
            <w:r>
              <w:rPr>
                <w:rFonts w:ascii="Times New Roman" w:cs="Times New Roman" w:eastAsia="Times New Roman" w:hAnsi="Times New Roman"/>
                <w:sz w:val="14"/>
                <w:szCs w:val="14"/>
                <w:color w:val="0000FF"/>
              </w:rPr>
              <w:t>Other Information</w:t>
            </w:r>
          </w:p>
        </w:tc>
        <w:tc>
          <w:tcPr>
            <w:tcW w:w="420" w:type="dxa"/>
            <w:vAlign w:val="bottom"/>
            <w:gridSpan w:val="2"/>
          </w:tcPr>
          <w:p>
            <w:pPr>
              <w:jc w:val="center"/>
              <w:ind w:left="211"/>
              <w:spacing w:after="0" w:line="159" w:lineRule="exact"/>
              <w:rPr>
                <w:sz w:val="20"/>
                <w:szCs w:val="20"/>
                <w:color w:val="auto"/>
              </w:rPr>
            </w:pPr>
            <w:r>
              <w:rPr>
                <w:rFonts w:ascii="Times New Roman" w:cs="Times New Roman" w:eastAsia="Times New Roman" w:hAnsi="Times New Roman"/>
                <w:sz w:val="14"/>
                <w:szCs w:val="14"/>
                <w:color w:val="0000FF"/>
                <w:w w:val="99"/>
              </w:rPr>
              <w:t>39</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EFEFEF"/>
          </w:tcPr>
          <w:p>
            <w:pPr>
              <w:spacing w:after="0"/>
              <w:rPr>
                <w:sz w:val="17"/>
                <w:szCs w:val="17"/>
                <w:color w:val="auto"/>
              </w:rPr>
            </w:pPr>
          </w:p>
        </w:tc>
        <w:tc>
          <w:tcPr>
            <w:tcW w:w="1500" w:type="dxa"/>
            <w:vAlign w:val="bottom"/>
            <w:gridSpan w:val="3"/>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rPr>
              <w:t>Item 6.</w:t>
            </w:r>
          </w:p>
        </w:tc>
        <w:tc>
          <w:tcPr>
            <w:tcW w:w="9020" w:type="dxa"/>
            <w:vAlign w:val="bottom"/>
            <w:gridSpan w:val="13"/>
            <w:shd w:val="clear" w:color="auto" w:fill="EFEFEF"/>
          </w:tcPr>
          <w:p>
            <w:pPr>
              <w:spacing w:after="0" w:line="159" w:lineRule="exact"/>
              <w:rPr>
                <w:sz w:val="20"/>
                <w:szCs w:val="20"/>
                <w:color w:val="auto"/>
              </w:rPr>
            </w:pPr>
            <w:r>
              <w:rPr>
                <w:rFonts w:ascii="Times New Roman" w:cs="Times New Roman" w:eastAsia="Times New Roman" w:hAnsi="Times New Roman"/>
                <w:sz w:val="14"/>
                <w:szCs w:val="14"/>
                <w:color w:val="0000FF"/>
              </w:rPr>
              <w:t>Exhibits</w:t>
            </w:r>
          </w:p>
        </w:tc>
        <w:tc>
          <w:tcPr>
            <w:tcW w:w="420" w:type="dxa"/>
            <w:vAlign w:val="bottom"/>
            <w:gridSpan w:val="2"/>
            <w:shd w:val="clear" w:color="auto" w:fill="EFEFEF"/>
          </w:tcPr>
          <w:p>
            <w:pPr>
              <w:jc w:val="center"/>
              <w:ind w:left="211"/>
              <w:spacing w:after="0" w:line="159" w:lineRule="exact"/>
              <w:rPr>
                <w:sz w:val="20"/>
                <w:szCs w:val="20"/>
                <w:color w:val="auto"/>
              </w:rPr>
            </w:pPr>
            <w:r>
              <w:rPr>
                <w:rFonts w:ascii="Times New Roman" w:cs="Times New Roman" w:eastAsia="Times New Roman" w:hAnsi="Times New Roman"/>
                <w:sz w:val="14"/>
                <w:szCs w:val="14"/>
                <w:color w:val="0000FF"/>
                <w:w w:val="99"/>
              </w:rPr>
              <w:t>40</w:t>
            </w:r>
          </w:p>
        </w:tc>
        <w:tc>
          <w:tcPr>
            <w:tcW w:w="28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1317"/>
        </w:trPr>
        <w:tc>
          <w:tcPr>
            <w:tcW w:w="60" w:type="dxa"/>
            <w:vAlign w:val="bottom"/>
            <w:tcBorders>
              <w:top w:val="single" w:sz="8" w:color="EFEFE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EFEFEF"/>
              <w:bottom w:val="single" w:sz="8" w:color="9A9A9A"/>
            </w:tcBorders>
          </w:tcPr>
          <w:p>
            <w:pPr>
              <w:spacing w:after="0"/>
              <w:rPr>
                <w:sz w:val="24"/>
                <w:szCs w:val="24"/>
                <w:color w:val="auto"/>
              </w:rPr>
            </w:pPr>
          </w:p>
        </w:tc>
        <w:tc>
          <w:tcPr>
            <w:tcW w:w="1000" w:type="dxa"/>
            <w:vAlign w:val="bottom"/>
            <w:tcBorders>
              <w:top w:val="single" w:sz="8" w:color="EFEFE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EFEFEF"/>
              <w:bottom w:val="single" w:sz="8" w:color="9A9A9A"/>
            </w:tcBorders>
          </w:tcPr>
          <w:p>
            <w:pPr>
              <w:spacing w:after="0"/>
              <w:rPr>
                <w:sz w:val="24"/>
                <w:szCs w:val="24"/>
                <w:color w:val="auto"/>
              </w:rPr>
            </w:pPr>
          </w:p>
        </w:tc>
        <w:tc>
          <w:tcPr>
            <w:tcW w:w="340" w:type="dxa"/>
            <w:vAlign w:val="bottom"/>
            <w:tcBorders>
              <w:top w:val="single" w:sz="8" w:color="EFEFEF"/>
              <w:bottom w:val="single" w:sz="8" w:color="9A9A9A"/>
            </w:tcBorders>
          </w:tcPr>
          <w:p>
            <w:pPr>
              <w:spacing w:after="0"/>
              <w:rPr>
                <w:sz w:val="24"/>
                <w:szCs w:val="24"/>
                <w:color w:val="auto"/>
              </w:rPr>
            </w:pPr>
          </w:p>
        </w:tc>
        <w:tc>
          <w:tcPr>
            <w:tcW w:w="140" w:type="dxa"/>
            <w:vAlign w:val="bottom"/>
            <w:tcBorders>
              <w:top w:val="single" w:sz="8" w:color="EFEFEF"/>
              <w:bottom w:val="single" w:sz="8" w:color="9A9A9A"/>
            </w:tcBorders>
          </w:tcPr>
          <w:p>
            <w:pPr>
              <w:spacing w:after="0"/>
              <w:rPr>
                <w:sz w:val="24"/>
                <w:szCs w:val="24"/>
                <w:color w:val="auto"/>
              </w:rPr>
            </w:pPr>
          </w:p>
        </w:tc>
        <w:tc>
          <w:tcPr>
            <w:tcW w:w="200" w:type="dxa"/>
            <w:vAlign w:val="bottom"/>
            <w:tcBorders>
              <w:top w:val="single" w:sz="8" w:color="EFEFEF"/>
              <w:bottom w:val="single" w:sz="8" w:color="9A9A9A"/>
            </w:tcBorders>
          </w:tcPr>
          <w:p>
            <w:pPr>
              <w:spacing w:after="0"/>
              <w:rPr>
                <w:sz w:val="24"/>
                <w:szCs w:val="24"/>
                <w:color w:val="auto"/>
              </w:rPr>
            </w:pPr>
          </w:p>
        </w:tc>
        <w:tc>
          <w:tcPr>
            <w:tcW w:w="1240" w:type="dxa"/>
            <w:vAlign w:val="bottom"/>
            <w:tcBorders>
              <w:top w:val="single" w:sz="8" w:color="EFEFEF"/>
              <w:bottom w:val="single" w:sz="8" w:color="9A9A9A"/>
            </w:tcBorders>
          </w:tcPr>
          <w:p>
            <w:pPr>
              <w:spacing w:after="0"/>
              <w:rPr>
                <w:sz w:val="24"/>
                <w:szCs w:val="24"/>
                <w:color w:val="auto"/>
              </w:rPr>
            </w:pPr>
          </w:p>
        </w:tc>
        <w:tc>
          <w:tcPr>
            <w:tcW w:w="800" w:type="dxa"/>
            <w:vAlign w:val="bottom"/>
            <w:tcBorders>
              <w:top w:val="single" w:sz="8" w:color="EFEFEF"/>
              <w:bottom w:val="single" w:sz="8" w:color="9A9A9A"/>
            </w:tcBorders>
          </w:tcPr>
          <w:p>
            <w:pPr>
              <w:spacing w:after="0"/>
              <w:rPr>
                <w:sz w:val="24"/>
                <w:szCs w:val="24"/>
                <w:color w:val="auto"/>
              </w:rPr>
            </w:pPr>
          </w:p>
        </w:tc>
        <w:tc>
          <w:tcPr>
            <w:tcW w:w="460" w:type="dxa"/>
            <w:vAlign w:val="bottom"/>
            <w:tcBorders>
              <w:top w:val="single" w:sz="8" w:color="EFEFEF"/>
              <w:bottom w:val="single" w:sz="8" w:color="9A9A9A"/>
            </w:tcBorders>
          </w:tcPr>
          <w:p>
            <w:pPr>
              <w:spacing w:after="0"/>
              <w:rPr>
                <w:sz w:val="24"/>
                <w:szCs w:val="24"/>
                <w:color w:val="auto"/>
              </w:rPr>
            </w:pPr>
          </w:p>
        </w:tc>
        <w:tc>
          <w:tcPr>
            <w:tcW w:w="20" w:type="dxa"/>
            <w:vAlign w:val="bottom"/>
            <w:tcBorders>
              <w:top w:val="single" w:sz="8" w:color="EFEFEF"/>
              <w:bottom w:val="single" w:sz="8" w:color="9A9A9A"/>
            </w:tcBorders>
          </w:tcPr>
          <w:p>
            <w:pPr>
              <w:spacing w:after="0"/>
              <w:rPr>
                <w:sz w:val="24"/>
                <w:szCs w:val="24"/>
                <w:color w:val="auto"/>
              </w:rPr>
            </w:pPr>
          </w:p>
        </w:tc>
        <w:tc>
          <w:tcPr>
            <w:tcW w:w="360" w:type="dxa"/>
            <w:vAlign w:val="bottom"/>
            <w:tcBorders>
              <w:top w:val="single" w:sz="8" w:color="EFEFEF"/>
              <w:bottom w:val="single" w:sz="8" w:color="9A9A9A"/>
            </w:tcBorders>
          </w:tcPr>
          <w:p>
            <w:pPr>
              <w:spacing w:after="0"/>
              <w:rPr>
                <w:sz w:val="24"/>
                <w:szCs w:val="24"/>
                <w:color w:val="auto"/>
              </w:rPr>
            </w:pPr>
          </w:p>
        </w:tc>
        <w:tc>
          <w:tcPr>
            <w:tcW w:w="40" w:type="dxa"/>
            <w:vAlign w:val="bottom"/>
            <w:tcBorders>
              <w:top w:val="single" w:sz="8" w:color="EFEFEF"/>
              <w:bottom w:val="single" w:sz="8" w:color="9A9A9A"/>
            </w:tcBorders>
          </w:tcPr>
          <w:p>
            <w:pPr>
              <w:spacing w:after="0"/>
              <w:rPr>
                <w:sz w:val="24"/>
                <w:szCs w:val="24"/>
                <w:color w:val="auto"/>
              </w:rPr>
            </w:pPr>
          </w:p>
        </w:tc>
        <w:tc>
          <w:tcPr>
            <w:tcW w:w="780" w:type="dxa"/>
            <w:vAlign w:val="bottom"/>
            <w:tcBorders>
              <w:top w:val="single" w:sz="8" w:color="EFEFEF"/>
              <w:bottom w:val="single" w:sz="8" w:color="9A9A9A"/>
            </w:tcBorders>
          </w:tcPr>
          <w:p>
            <w:pPr>
              <w:spacing w:after="0"/>
              <w:rPr>
                <w:sz w:val="24"/>
                <w:szCs w:val="24"/>
                <w:color w:val="auto"/>
              </w:rPr>
            </w:pPr>
          </w:p>
        </w:tc>
        <w:tc>
          <w:tcPr>
            <w:tcW w:w="3940" w:type="dxa"/>
            <w:vAlign w:val="bottom"/>
            <w:tcBorders>
              <w:top w:val="single" w:sz="8" w:color="EFEFEF"/>
              <w:bottom w:val="single" w:sz="8" w:color="9A9A9A"/>
            </w:tcBorders>
          </w:tcPr>
          <w:p>
            <w:pPr>
              <w:spacing w:after="0"/>
              <w:rPr>
                <w:sz w:val="24"/>
                <w:szCs w:val="24"/>
                <w:color w:val="auto"/>
              </w:rPr>
            </w:pPr>
          </w:p>
        </w:tc>
        <w:tc>
          <w:tcPr>
            <w:tcW w:w="320" w:type="dxa"/>
            <w:vAlign w:val="bottom"/>
            <w:tcBorders>
              <w:top w:val="single" w:sz="8" w:color="EFEFE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EFEFE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Introduction and Forward Looking Statements</w:t>
      </w:r>
    </w:p>
    <w:p>
      <w:pPr>
        <w:spacing w:after="0" w:line="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 xml:space="preserve">This Form 10-Q and certain information incorporated herein by reference contains forward-looking statements, which are provided under the “safe harbor” protection of the Private Securities Litigation Reform Act of 1995. When used in this Form 10-Q, the words “anticipate”, “believe”, “estimate”, “forecast”, “expect”, “intend”, “plan” and “project” and similar expressions, as they relate to us, our management or third parties, identify forward-looking statements. Forward-looking statements include statements regarding our business strategy, financial condition, results of operations, market data as well as any other statements that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These factors, risks and uncertainties expressly qualify all subsequent oral and written forward-looking statements attributable to us or persons acting on our behalf and include, in addition to those listed 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our Annual Report on Form 10-K for the year ended December 31, 2025 and elsewhere in this Form 10-Q, the following:</w:t>
      </w:r>
    </w:p>
    <w:p>
      <w:pPr>
        <w:spacing w:after="0" w:line="2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demand and semiconductor industry conditions;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introduce new technologies and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the goods into which our products are incorporated;</w:t>
      </w:r>
    </w:p>
    <w:p>
      <w:pPr>
        <w:spacing w:after="0" w:line="8" w:lineRule="exact"/>
        <w:rPr>
          <w:rFonts w:ascii="Times New Roman" w:cs="Times New Roman" w:eastAsia="Times New Roman" w:hAnsi="Times New Roman"/>
          <w:sz w:val="14"/>
          <w:szCs w:val="14"/>
          <w:color w:val="auto"/>
        </w:rPr>
      </w:pPr>
    </w:p>
    <w:p>
      <w:pPr>
        <w:ind w:left="520" w:right="56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recent changes in global trade policy including tariffs and related trade actions announced by the U.S., China and other countries, potential increase of barriers to international trade, including the imposition of new or increased tariffs, and resulting disruptions to our established supply chains;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actions and regulations, including as a result of executive orders, including restrictions on the export of products and technology;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and evolving cybersecurity threats and privacy risks;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accurately estimate demand and match our production capacity accordingly or obtain supplies from third-party producers;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access to production from third-party outsourcing partners, and any events that might affect their business or our relationship with them;</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adequate and timely supply of equipment and materials from suppliers;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avoid operational problems and product defects and, if such issues were to arise, to correct them quickly;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form strategic partnerships and joint ventures and successfully cooperate with our strategic alliance partners;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win competitive bid selection processes;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products for use in our customers’ equipment and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hire and retain key management and senior product engineers;</w:t>
      </w:r>
    </w:p>
    <w:p>
      <w:pPr>
        <w:spacing w:after="0" w:line="8"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hostilities, including the invasion of Ukraine by Russia and resulting regional instability, sanctions and any other retaliatory measures taken against Russia, and the continued hostilities and armed conflict in the Middle East including the ongoing military conflict involving Iran and the resulting disruption to energy markets, industrial gas supplies and global logistical routes, which could adversely impact the global supply chain, disrupt our operations or negatively impact the demand for our products in our primary end markets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good relationships with our suppliers;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integrate acquired businesses in an efficient and effective manner;</w:t>
      </w:r>
    </w:p>
    <w:p>
      <w:pPr>
        <w:spacing w:after="0" w:line="8" w:lineRule="exact"/>
        <w:rPr>
          <w:rFonts w:ascii="Times New Roman" w:cs="Times New Roman" w:eastAsia="Times New Roman" w:hAnsi="Times New Roman"/>
          <w:sz w:val="14"/>
          <w:szCs w:val="14"/>
          <w:color w:val="auto"/>
        </w:rPr>
      </w:pPr>
    </w:p>
    <w:p>
      <w:pPr>
        <w:ind w:left="520" w:right="68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sufficient cash, raise sufficient capital or refinance our debt at or before maturity to meet our debt service, research and development and capital investment requirements; and</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tax laws could have an effect on our estimated effective tax rates.</w:t>
      </w:r>
    </w:p>
    <w:p>
      <w:pPr>
        <w:spacing w:after="0" w:line="18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We do not assume any obligation to update any forward-looking statements and disclaim any obligation to update our view of any risks or uncertainties described herein or to publicly announce the result of any revisions to the forward-looking statements made in this Form 10-Q, except as required by law.</w:t>
      </w:r>
    </w:p>
    <w:p>
      <w:pPr>
        <w:spacing w:after="0" w:line="14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In addition, this Form 10-Q contains information concerning the semiconductor industry, our end markets and business generally, which is forward-looking in nature and is based on a variety of assumptions regarding the ways in which the semiconductor industry, our end markets and business will develop. We have based these assumptions on information currently available to us, including through the market research and industry reports referred to in this Form 10-Q.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and the trading price of our common stock. Readers are cautioned not to place undue reliance on these forward-looking statements, which speak to results only as of the date the statements were made. Except for any ongoing obligation to disclose material information as required by the United States federal securities laws, NXP does not have any intention or obligation to publicly update or revise any forward-looking statements after we file this document with the U.S. Securities and Exchange Commission, whether to reflect any future events or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The financial information included in this Form 10-Q is based on United States Generally Accepted Accounting Principles (U.S. GAAP), unless otherwise indicated.</w:t>
      </w:r>
    </w:p>
    <w:p>
      <w:pPr>
        <w:spacing w:after="0" w:line="20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 xml:space="preserve">In presenting and discussing our financial position, operating results and cash flows, management uses certain non-U.S. GAAP financial measures. These non-U.S. GAAP financial measures should not be viewed in isolation or as alternatives to the equivalent U.S. GAAP measures and should be used in conjunction with the most directly comparable U.S. GAAP measures. A discussion of non-U.S. GAAP measures included in this Form 10-Q and a reconciliation of such measures to the most directly comparable U.S. GAAP measures are set forth under “Use of Certain Non-GAAP Financial Measures” contained in this Form 10-Q under Item 2.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required, all references herein to “we”, “our”, “us”, “NXP” and the “Company” are to NXP Semiconductors N.V. and its consolidated subsidiaries.</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This Form 10-Q includes market data and certain other statistical information and estimates that are based on reports and other publications from industry analysts, market research firms, and other independent sources, as well as management’s own good faith estimates and analyses. NXP believes these third-party reports to be reputable, but has not independently verified the underlying data sources, methodologies or assumptions. The reports and other publications referenced are generally available to the public and were not commissioned by NXP.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4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Financial Statements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millions, unless otherwise stated)</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120" w:type="dxa"/>
            <w:vAlign w:val="bottom"/>
            <w:tcBorders>
              <w:bottom w:val="single" w:sz="8" w:color="auto"/>
            </w:tcBorders>
            <w:gridSpan w:val="3"/>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4"/>
                <w:szCs w:val="14"/>
                <w:color w:val="auto"/>
              </w:rPr>
            </w:pPr>
          </w:p>
        </w:tc>
        <w:tc>
          <w:tcPr>
            <w:tcW w:w="3120" w:type="dxa"/>
            <w:vAlign w:val="bottom"/>
            <w:tcBorders>
              <w:bottom w:val="single" w:sz="8" w:color="auto"/>
            </w:tcBorders>
            <w:gridSpan w:val="3"/>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1"/>
        </w:trPr>
        <w:tc>
          <w:tcPr>
            <w:tcW w:w="4900" w:type="dxa"/>
            <w:vAlign w:val="bottom"/>
          </w:tcPr>
          <w:p>
            <w:pPr>
              <w:spacing w:after="0"/>
              <w:rPr>
                <w:sz w:val="14"/>
                <w:szCs w:val="14"/>
                <w:color w:val="auto"/>
              </w:rPr>
            </w:pP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3,173</w:t>
            </w: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10,463</w:t>
            </w: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8,934</w:t>
            </w:r>
          </w:p>
        </w:tc>
      </w:tr>
      <w:tr>
        <w:trPr>
          <w:trHeight w:val="178"/>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(1,597)</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(1,386)</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(4,484)</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(4,025)</w:t>
            </w:r>
          </w:p>
        </w:tc>
      </w:tr>
      <w:tr>
        <w:trPr>
          <w:trHeight w:val="173"/>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Gross profit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w:t>
            </w:r>
          </w:p>
        </w:tc>
      </w:tr>
      <w:tr>
        <w:trPr>
          <w:trHeight w:val="178"/>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(1,807)</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(1,695)</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w:t>
            </w:r>
          </w:p>
        </w:tc>
      </w:tr>
      <w:tr>
        <w:trPr>
          <w:trHeight w:val="178"/>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Amortization of acquisition-related intangible assets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3"/>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w:t>
            </w:r>
          </w:p>
        </w:tc>
      </w:tr>
      <w:tr>
        <w:trPr>
          <w:trHeight w:val="178"/>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3"/>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Operating income (loss)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w:t>
            </w:r>
          </w:p>
        </w:tc>
      </w:tr>
      <w:tr>
        <w:trPr>
          <w:trHeight w:val="178"/>
        </w:trPr>
        <w:tc>
          <w:tcPr>
            <w:tcW w:w="4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Financial income (expense):</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financial income (expense)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r>
      <w:tr>
        <w:trPr>
          <w:trHeight w:val="169"/>
        </w:trPr>
        <w:tc>
          <w:tcPr>
            <w:tcW w:w="4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 (provision) for income taxes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r>
      <w:tr>
        <w:trPr>
          <w:trHeight w:val="178"/>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Results relating to equity-accounted investees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3"/>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income (loss)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w:t>
            </w:r>
          </w:p>
        </w:tc>
      </w:tr>
      <w:tr>
        <w:trPr>
          <w:trHeight w:val="178"/>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96"/>
        </w:trPr>
        <w:tc>
          <w:tcPr>
            <w:tcW w:w="4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income (loss) attributable to stockholders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4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Earnings per share data:</w:t>
            </w: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78"/>
        </w:trPr>
        <w:tc>
          <w:tcPr>
            <w:tcW w:w="49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Net income (loss) per common share attributable to stockholders in $</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w:t>
            </w:r>
          </w:p>
        </w:tc>
      </w:tr>
      <w:tr>
        <w:trPr>
          <w:trHeight w:val="178"/>
        </w:trPr>
        <w:tc>
          <w:tcPr>
            <w:tcW w:w="4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Diluted</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r>
      <w:tr>
        <w:trPr>
          <w:trHeight w:val="214"/>
        </w:trPr>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38"/>
        </w:trPr>
        <w:tc>
          <w:tcPr>
            <w:tcW w:w="49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Weighted average number of shares of common stock outstanding during the period (in</w:t>
            </w: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thousands):</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3"/>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252,123</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252,170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252,414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252,759</w:t>
            </w:r>
          </w:p>
        </w:tc>
      </w:tr>
      <w:tr>
        <w:trPr>
          <w:trHeight w:val="176"/>
        </w:trPr>
        <w:tc>
          <w:tcPr>
            <w:tcW w:w="4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Diluted</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253,831</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254,310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253,845</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254,401</w:t>
            </w:r>
          </w:p>
        </w:tc>
      </w:tr>
    </w:tbl>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the Condensed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08"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rPr>
          <w:sz w:val="20"/>
          <w:szCs w:val="20"/>
          <w:color w:val="auto"/>
        </w:rPr>
      </w:pPr>
      <w:r>
        <w:rPr>
          <w:rFonts w:ascii="Times New Roman" w:cs="Times New Roman" w:eastAsia="Times New Roman" w:hAnsi="Times New Roman"/>
          <w:sz w:val="14"/>
          <w:szCs w:val="14"/>
          <w:b w:val="1"/>
          <w:bCs w:val="1"/>
          <w:color w:val="auto"/>
        </w:rPr>
        <w:t>($ in millions, unless otherwise stated)</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120" w:type="dxa"/>
            <w:vAlign w:val="bottom"/>
            <w:tcBorders>
              <w:bottom w:val="single" w:sz="8" w:color="auto"/>
            </w:tcBorders>
            <w:gridSpan w:val="3"/>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4"/>
                <w:szCs w:val="14"/>
                <w:color w:val="auto"/>
              </w:rPr>
            </w:pPr>
          </w:p>
        </w:tc>
        <w:tc>
          <w:tcPr>
            <w:tcW w:w="3120" w:type="dxa"/>
            <w:vAlign w:val="bottom"/>
            <w:tcBorders>
              <w:bottom w:val="single" w:sz="8" w:color="auto"/>
            </w:tcBorders>
            <w:gridSpan w:val="3"/>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1"/>
        </w:trPr>
        <w:tc>
          <w:tcPr>
            <w:tcW w:w="4900" w:type="dxa"/>
            <w:vAlign w:val="bottom"/>
          </w:tcPr>
          <w:p>
            <w:pPr>
              <w:spacing w:after="0"/>
              <w:rPr>
                <w:sz w:val="14"/>
                <w:szCs w:val="14"/>
                <w:color w:val="auto"/>
              </w:rPr>
            </w:pP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w:t>
            </w:r>
          </w:p>
        </w:tc>
      </w:tr>
      <w:tr>
        <w:trPr>
          <w:trHeight w:val="178"/>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cash flow hedges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8"/>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Change in foreign currency translation adjustment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net actuarial gain (loss)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9"/>
        </w:trPr>
        <w:tc>
          <w:tcPr>
            <w:tcW w:w="4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73"/>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comprehensive income (loss)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w:t>
            </w:r>
          </w:p>
        </w:tc>
      </w:tr>
      <w:tr>
        <w:trPr>
          <w:trHeight w:val="178"/>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Comprehensive income (loss) attributable to non-controlling interests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96"/>
        </w:trPr>
        <w:tc>
          <w:tcPr>
            <w:tcW w:w="4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comprehensive income (loss) attributable to stockholders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2,710</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the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in millions, unless otherwise stated)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spacing w:after="0"/>
              <w:rPr>
                <w:sz w:val="14"/>
                <w:szCs w:val="14"/>
                <w:color w:val="auto"/>
              </w:rPr>
            </w:pPr>
          </w:p>
        </w:tc>
        <w:tc>
          <w:tcPr>
            <w:tcW w:w="190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r>
      <w:tr>
        <w:trPr>
          <w:trHeight w:val="178"/>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3,267</w:t>
            </w: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receivable, net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w:t>
            </w: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Assets held for sale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Inventories, net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2,577</w:t>
            </w: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Other current assets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r>
      <w:tr>
        <w:trPr>
          <w:trHeight w:val="16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8,435</w:t>
            </w:r>
          </w:p>
        </w:tc>
        <w:tc>
          <w:tcPr>
            <w:tcW w:w="10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7,940</w:t>
            </w:r>
          </w:p>
        </w:tc>
      </w:tr>
      <w:tr>
        <w:trPr>
          <w:trHeight w:val="16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Deferred tax assets</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w:t>
            </w: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Other non-current assets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2,584</w:t>
            </w: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Property, plant and equipment, net of accumulated depreciation of $6,634 and $6,366 respectively</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Identified intangible assets, net of accumulated amortization of $851 and $820 respectively</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w:t>
            </w:r>
          </w:p>
        </w:tc>
      </w:tr>
      <w:tr>
        <w:trPr>
          <w:trHeight w:val="178"/>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Goodwill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10,259</w:t>
            </w: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10,299</w:t>
            </w:r>
          </w:p>
        </w:tc>
      </w:tr>
      <w:tr>
        <w:trPr>
          <w:trHeight w:val="17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non-current assets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19,172</w:t>
            </w: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18,620</w:t>
            </w:r>
          </w:p>
        </w:tc>
      </w:tr>
      <w:tr>
        <w:trPr>
          <w:trHeight w:val="169"/>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27,607</w:t>
            </w:r>
          </w:p>
        </w:tc>
        <w:tc>
          <w:tcPr>
            <w:tcW w:w="10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26,560</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6"/>
        </w:trPr>
        <w:tc>
          <w:tcPr>
            <w:tcW w:w="7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78"/>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payable</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w:t>
            </w: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Restructuring liabilities-current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w:t>
            </w: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Short-term debt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r>
      <w:tr>
        <w:trPr>
          <w:trHeight w:val="16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3,970</w:t>
            </w:r>
          </w:p>
        </w:tc>
        <w:tc>
          <w:tcPr>
            <w:tcW w:w="10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3,881</w:t>
            </w:r>
          </w:p>
        </w:tc>
      </w:tr>
      <w:tr>
        <w:trPr>
          <w:trHeight w:val="16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Long-term debt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9,979</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10,972</w:t>
            </w: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Restructuring liabilities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8"/>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1,175</w:t>
            </w:r>
          </w:p>
        </w:tc>
      </w:tr>
      <w:tr>
        <w:trPr>
          <w:trHeight w:val="17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11,172</w:t>
            </w: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12,228</w:t>
            </w:r>
          </w:p>
        </w:tc>
      </w:tr>
      <w:tr>
        <w:trPr>
          <w:trHeight w:val="169"/>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15,142</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16,109</w:t>
            </w:r>
          </w:p>
        </w:tc>
      </w:tr>
      <w:tr>
        <w:trPr>
          <w:trHeight w:val="18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Stockholders’ equity:</w:t>
            </w: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Common stock, par value €0.20 per share:</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Capital in excess of par value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15,752</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15,424</w:t>
            </w: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Treasury shares, at cost:</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3"/>
        </w:trPr>
        <w:tc>
          <w:tcPr>
            <w:tcW w:w="7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22,466,650 shares (2025: 21,664,934 shares)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(4,502)</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(4,283)</w:t>
            </w:r>
          </w:p>
        </w:tc>
      </w:tr>
      <w:tr>
        <w:trPr>
          <w:trHeight w:val="178"/>
        </w:trPr>
        <w:tc>
          <w:tcPr>
            <w:tcW w:w="7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18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Accumulated deficit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w:t>
            </w:r>
          </w:p>
        </w:tc>
      </w:tr>
      <w:tr>
        <w:trPr>
          <w:trHeight w:val="169"/>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12,088</w:t>
            </w:r>
          </w:p>
        </w:tc>
        <w:tc>
          <w:tcPr>
            <w:tcW w:w="10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10,056</w:t>
            </w:r>
          </w:p>
        </w:tc>
      </w:tr>
      <w:tr>
        <w:trPr>
          <w:trHeight w:val="17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12,465</w:t>
            </w:r>
          </w:p>
        </w:tc>
        <w:tc>
          <w:tcPr>
            <w:tcW w:w="1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10,451</w:t>
            </w:r>
          </w:p>
        </w:tc>
      </w:tr>
      <w:tr>
        <w:trPr>
          <w:trHeight w:val="169"/>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27,607</w:t>
            </w:r>
          </w:p>
        </w:tc>
        <w:tc>
          <w:tcPr>
            <w:tcW w:w="10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26,560</w:t>
            </w:r>
          </w:p>
        </w:tc>
      </w:tr>
      <w:tr>
        <w:trPr>
          <w:trHeight w:val="20"/>
        </w:trPr>
        <w:tc>
          <w:tcPr>
            <w:tcW w:w="76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the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in millions, unless otherwise stated)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25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3"/>
                <w:szCs w:val="13"/>
                <w:b w:val="1"/>
                <w:bCs w:val="1"/>
                <w:color w:val="auto"/>
                <w:w w:val="96"/>
              </w:rPr>
              <w:t>For the nine months ended</w:t>
            </w:r>
          </w:p>
        </w:tc>
        <w:tc>
          <w:tcPr>
            <w:tcW w:w="1100" w:type="dxa"/>
            <w:vAlign w:val="bottom"/>
            <w:tcBorders>
              <w:bottom w:val="single" w:sz="8" w:color="auto"/>
            </w:tcBorders>
          </w:tcPr>
          <w:p>
            <w:pPr>
              <w:spacing w:after="0"/>
              <w:rPr>
                <w:sz w:val="14"/>
                <w:szCs w:val="14"/>
                <w:color w:val="auto"/>
              </w:rPr>
            </w:pPr>
          </w:p>
        </w:tc>
      </w:tr>
      <w:tr>
        <w:trPr>
          <w:trHeight w:val="171"/>
        </w:trPr>
        <w:tc>
          <w:tcPr>
            <w:tcW w:w="7600" w:type="dxa"/>
            <w:vAlign w:val="bottom"/>
          </w:tcPr>
          <w:p>
            <w:pPr>
              <w:spacing w:after="0"/>
              <w:rPr>
                <w:sz w:val="14"/>
                <w:szCs w:val="14"/>
                <w:color w:val="auto"/>
              </w:rPr>
            </w:pPr>
          </w:p>
        </w:tc>
        <w:tc>
          <w:tcPr>
            <w:tcW w:w="2560" w:type="dxa"/>
            <w:vAlign w:val="bottom"/>
            <w:gridSpan w:val="3"/>
          </w:tcPr>
          <w:p>
            <w:pPr>
              <w:ind w:left="70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September 28, 2025</w:t>
            </w:r>
          </w:p>
        </w:tc>
      </w:tr>
      <w:tr>
        <w:trPr>
          <w:trHeight w:val="163"/>
        </w:trPr>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Cash flows from operating activities:</w:t>
            </w:r>
          </w:p>
        </w:tc>
        <w:tc>
          <w:tcPr>
            <w:tcW w:w="1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w:t>
            </w: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(used for) operating activities:</w:t>
            </w: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7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amortization and impairment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w:t>
            </w:r>
          </w:p>
        </w:tc>
      </w:tr>
      <w:tr>
        <w:trPr>
          <w:trHeight w:val="183"/>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Share-based compensation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r>
      <w:tr>
        <w:trPr>
          <w:trHeight w:val="178"/>
        </w:trPr>
        <w:tc>
          <w:tcPr>
            <w:tcW w:w="7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discount (premium) on debt, net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3"/>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8"/>
        </w:trPr>
        <w:tc>
          <w:tcPr>
            <w:tcW w:w="7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(gain) loss on sale of assets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83"/>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(Gain) loss on equity security, net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8"/>
        </w:trPr>
        <w:tc>
          <w:tcPr>
            <w:tcW w:w="7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Results relating to equity-accounted investees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83"/>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Deferred tax expense (benefit)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Changes in operating assets and liabilities:</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(Increase) decrease in receivables and other current assets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8"/>
        </w:trPr>
        <w:tc>
          <w:tcPr>
            <w:tcW w:w="7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(Increase) decrease in inventories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83"/>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Increase (decrease) in accounts payable and other liabilities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r>
      <w:tr>
        <w:trPr>
          <w:trHeight w:val="178"/>
        </w:trPr>
        <w:tc>
          <w:tcPr>
            <w:tcW w:w="7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Decrease (increase) in other non-current assets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differences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8"/>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items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provided by (used for) operating activities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w:t>
            </w: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Cash flows from investing activities:</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identified intangible assets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Capital expenditures on property, plant and equipment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interests in businesses, net of cash acquired</w:t>
            </w:r>
          </w:p>
        </w:tc>
        <w:tc>
          <w:tcPr>
            <w:tcW w:w="25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disposals of property, plant and equipment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 of interests in businesses, net of cash divested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Advance proceeds related to business disposition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 short-term deposits</w:t>
            </w:r>
          </w:p>
        </w:tc>
        <w:tc>
          <w:tcPr>
            <w:tcW w:w="25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78"/>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Purchase of investments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r>
      <w:tr>
        <w:trPr>
          <w:trHeight w:val="17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provided by (used for) investing activities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(1,891)</w:t>
            </w: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Cash flows from financing activities:</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of long-term debt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the issuance of long-term debt</w:t>
            </w:r>
          </w:p>
        </w:tc>
        <w:tc>
          <w:tcPr>
            <w:tcW w:w="2560" w:type="dxa"/>
            <w:vAlign w:val="bottom"/>
            <w:gridSpan w:val="3"/>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1,868</w:t>
            </w: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debt issuance costs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commercial paper notes</w:t>
            </w:r>
          </w:p>
        </w:tc>
        <w:tc>
          <w:tcPr>
            <w:tcW w:w="2560" w:type="dxa"/>
            <w:vAlign w:val="bottom"/>
            <w:gridSpan w:val="3"/>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2,426</w:t>
            </w: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 of commercial paper notes</w:t>
            </w:r>
          </w:p>
        </w:tc>
        <w:tc>
          <w:tcPr>
            <w:tcW w:w="25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w:t>
            </w: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 to non-controlling interests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 to common stockholders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w:t>
            </w:r>
          </w:p>
        </w:tc>
      </w:tr>
      <w:tr>
        <w:trPr>
          <w:trHeight w:val="178"/>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common stock through stock plans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treasury shares and restricted stock unit withholdings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r>
      <w:tr>
        <w:trPr>
          <w:trHeight w:val="178"/>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net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provided by (used for) financing activities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78"/>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Effect of changes in exchange rates on cash positions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(decrease) in cash and cash equivalents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78"/>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3,267</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3,292</w:t>
            </w:r>
          </w:p>
        </w:tc>
      </w:tr>
      <w:tr>
        <w:trPr>
          <w:trHeight w:val="196"/>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in millions, unless otherwise stated)</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Supplemental disclosures to the Condensed Consolidated Cash flows</w:t>
            </w:r>
          </w:p>
        </w:tc>
        <w:tc>
          <w:tcPr>
            <w:tcW w:w="3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8"/>
        </w:trPr>
        <w:tc>
          <w:tcPr>
            <w:tcW w:w="6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cash paid during the period for:</w:t>
            </w:r>
          </w:p>
        </w:tc>
        <w:tc>
          <w:tcPr>
            <w:tcW w:w="3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w:t>
            </w:r>
          </w:p>
        </w:tc>
        <w:tc>
          <w:tcPr>
            <w:tcW w:w="350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rPr>
              <w:t>239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r>
      <w:tr>
        <w:trPr>
          <w:trHeight w:val="178"/>
        </w:trPr>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net of refunds</w:t>
            </w:r>
          </w:p>
        </w:tc>
        <w:tc>
          <w:tcPr>
            <w:tcW w:w="350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rPr>
              <w:t>675</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r>
      <w:tr>
        <w:trPr>
          <w:trHeight w:val="18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gain (loss) on sale of assets:</w:t>
            </w:r>
          </w:p>
        </w:tc>
        <w:tc>
          <w:tcPr>
            <w:tcW w:w="3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8"/>
        </w:trPr>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Cash proceeds from the sale of assets</w:t>
            </w:r>
          </w:p>
        </w:tc>
        <w:tc>
          <w:tcPr>
            <w:tcW w:w="350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rPr>
              <w:t>879</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83"/>
        </w:trPr>
        <w:tc>
          <w:tcPr>
            <w:tcW w:w="66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Non-cash consideration </w:t>
            </w:r>
            <w:r>
              <w:rPr>
                <w:rFonts w:ascii="Times New Roman" w:cs="Times New Roman" w:eastAsia="Times New Roman" w:hAnsi="Times New Roman"/>
                <w:sz w:val="16"/>
                <w:szCs w:val="16"/>
                <w:color w:val="auto"/>
                <w:vertAlign w:val="superscript"/>
              </w:rPr>
              <w:t>1)</w:t>
            </w:r>
          </w:p>
        </w:tc>
        <w:tc>
          <w:tcPr>
            <w:tcW w:w="350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rPr>
              <w:t>44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Book value of these assets and transaction costs</w:t>
            </w:r>
          </w:p>
        </w:tc>
        <w:tc>
          <w:tcPr>
            <w:tcW w:w="350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rPr>
              <w:t>(296)</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Non-cash investing activities:</w:t>
            </w:r>
          </w:p>
        </w:tc>
        <w:tc>
          <w:tcPr>
            <w:tcW w:w="3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Non-cash capital expenditures</w:t>
            </w:r>
          </w:p>
        </w:tc>
        <w:tc>
          <w:tcPr>
            <w:tcW w:w="350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rPr>
              <w:t>104</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24"/>
        </w:trPr>
        <w:tc>
          <w:tcPr>
            <w:tcW w:w="6680" w:type="dxa"/>
            <w:vAlign w:val="bottom"/>
          </w:tcPr>
          <w:p>
            <w:pPr>
              <w:ind w:left="120"/>
              <w:spacing w:after="0"/>
              <w:rPr>
                <w:sz w:val="20"/>
                <w:szCs w:val="20"/>
                <w:color w:val="auto"/>
              </w:rPr>
            </w:pPr>
            <w:r>
              <w:rPr>
                <w:rFonts w:ascii="Times New Roman" w:cs="Times New Roman" w:eastAsia="Times New Roman" w:hAnsi="Times New Roman"/>
                <w:sz w:val="8"/>
                <w:szCs w:val="8"/>
                <w:color w:val="auto"/>
              </w:rPr>
              <w:t>1) Represents the fair value on the closing date of the earn-out receivable from the divestiture of our MEMS Sensors business</w:t>
            </w:r>
          </w:p>
        </w:tc>
        <w:tc>
          <w:tcPr>
            <w:tcW w:w="350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the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 (Unaudited)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in millions, unless otherwise stated)</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2025</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Net income (loss)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comprehensive income (loss)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Share-based compensation plans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Shares issued pursuant to stock awards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Treasury shares repurchased and retired</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Dividends non-controlling interest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Dividends common stock ($1.014 per share)</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as of March 29, 2026</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Net income (loss)</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comprehensive income (loss)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Share-based compensation plans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Shares issued pursuant to stock awards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Treasury shares repurchased and retired</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Dividends non-controlling interests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Dividends common stock ($1.014 per share)</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as of June 28, 2026</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Net income (loss)</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comprehensive income</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Share-based compensation plans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Shares issued pursuant to stock awards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Treasury shares repurchased and retired</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Change in participation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Dividends common stock ($1.014 per share)</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as of September 27, 2026</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Accumu-</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lated</w:t>
            </w: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Outstanding</w:t>
            </w: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right"/>
              <w:ind w:right="120"/>
              <w:spacing w:after="0" w:line="110" w:lineRule="exact"/>
              <w:rPr>
                <w:sz w:val="20"/>
                <w:szCs w:val="20"/>
                <w:color w:val="auto"/>
              </w:rPr>
            </w:pPr>
            <w:r>
              <w:rPr>
                <w:rFonts w:ascii="Times New Roman" w:cs="Times New Roman" w:eastAsia="Times New Roman" w:hAnsi="Times New Roman"/>
                <w:sz w:val="11"/>
                <w:szCs w:val="11"/>
                <w:color w:val="auto"/>
              </w:rPr>
              <w:t>other</w:t>
            </w: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Total</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Non-</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Capital in</w:t>
            </w: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Treasury</w:t>
            </w:r>
          </w:p>
        </w:tc>
        <w:tc>
          <w:tcPr>
            <w:tcW w:w="120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compre-</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Accumu-</w:t>
            </w:r>
          </w:p>
        </w:tc>
        <w:tc>
          <w:tcPr>
            <w:tcW w:w="96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number of</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Common</w:t>
            </w:r>
          </w:p>
        </w:tc>
        <w:tc>
          <w:tcPr>
            <w:tcW w:w="96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hensive</w:t>
            </w:r>
          </w:p>
        </w:tc>
        <w:tc>
          <w:tcPr>
            <w:tcW w:w="1060" w:type="dxa"/>
            <w:vAlign w:val="bottom"/>
            <w:gridSpan w:val="2"/>
            <w:vMerge w:val="continue"/>
          </w:tcPr>
          <w:p>
            <w:pPr>
              <w:spacing w:after="0"/>
              <w:rPr>
                <w:sz w:val="9"/>
                <w:szCs w:val="9"/>
                <w:color w:val="auto"/>
              </w:rPr>
            </w:pPr>
          </w:p>
        </w:tc>
        <w:tc>
          <w:tcPr>
            <w:tcW w:w="9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stock-</w:t>
            </w:r>
          </w:p>
        </w:tc>
        <w:tc>
          <w:tcPr>
            <w:tcW w:w="9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con-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17"/>
        </w:trPr>
        <w:tc>
          <w:tcPr>
            <w:tcW w:w="10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shares (in</w:t>
            </w:r>
          </w:p>
        </w:tc>
        <w:tc>
          <w:tcPr>
            <w:tcW w:w="960" w:type="dxa"/>
            <w:vAlign w:val="bottom"/>
            <w:gridSpan w:val="2"/>
            <w:vMerge w:val="continue"/>
          </w:tcPr>
          <w:p>
            <w:pPr>
              <w:spacing w:after="0"/>
              <w:rPr>
                <w:sz w:val="10"/>
                <w:szCs w:val="10"/>
                <w:color w:val="auto"/>
              </w:rPr>
            </w:pPr>
          </w:p>
        </w:tc>
        <w:tc>
          <w:tcPr>
            <w:tcW w:w="96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excess of</w:t>
            </w:r>
          </w:p>
        </w:tc>
        <w:tc>
          <w:tcPr>
            <w:tcW w:w="96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shares at</w:t>
            </w:r>
          </w:p>
        </w:tc>
        <w:tc>
          <w:tcPr>
            <w:tcW w:w="120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income</w:t>
            </w:r>
          </w:p>
        </w:tc>
        <w:tc>
          <w:tcPr>
            <w:tcW w:w="106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lated</w:t>
            </w:r>
          </w:p>
        </w:tc>
        <w:tc>
          <w:tcPr>
            <w:tcW w:w="96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holders’</w:t>
            </w:r>
          </w:p>
        </w:tc>
        <w:tc>
          <w:tcPr>
            <w:tcW w:w="9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trolling</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thousands)</w:t>
            </w:r>
          </w:p>
        </w:tc>
        <w:tc>
          <w:tcPr>
            <w:tcW w:w="9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stock</w:t>
            </w: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par value</w:t>
            </w: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cost</w:t>
            </w:r>
          </w:p>
        </w:tc>
        <w:tc>
          <w:tcPr>
            <w:tcW w:w="1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(loss)</w:t>
            </w: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deficit</w:t>
            </w: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equity</w:t>
            </w:r>
          </w:p>
        </w:tc>
        <w:tc>
          <w:tcPr>
            <w:tcW w:w="9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interests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equity</w:t>
            </w:r>
          </w:p>
        </w:tc>
        <w:tc>
          <w:tcPr>
            <w:tcW w:w="0" w:type="dxa"/>
            <w:vAlign w:val="bottom"/>
          </w:tcPr>
          <w:p>
            <w:pPr>
              <w:spacing w:after="0"/>
              <w:rPr>
                <w:sz w:val="1"/>
                <w:szCs w:val="1"/>
                <w:color w:val="auto"/>
              </w:rPr>
            </w:pPr>
          </w:p>
        </w:tc>
      </w:tr>
      <w:tr>
        <w:trPr>
          <w:trHeight w:val="146"/>
        </w:trPr>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252,854</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15,424</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(4,283)</w:t>
            </w:r>
          </w:p>
        </w:tc>
        <w:tc>
          <w:tcPr>
            <w:tcW w:w="100" w:type="dxa"/>
            <w:vAlign w:val="bottom"/>
          </w:tcPr>
          <w:p>
            <w:pPr>
              <w:spacing w:after="0"/>
              <w:rPr>
                <w:sz w:val="12"/>
                <w:szCs w:val="12"/>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(1,354)</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10,056</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10,451</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1,122</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1,122</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1,133</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70"/>
        </w:trPr>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70"/>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0" w:type="dxa"/>
            <w:vAlign w:val="bottom"/>
          </w:tcPr>
          <w:p>
            <w:pPr>
              <w:spacing w:after="0"/>
              <w:rPr>
                <w:sz w:val="1"/>
                <w:szCs w:val="1"/>
                <w:color w:val="auto"/>
              </w:rPr>
            </w:pPr>
          </w:p>
        </w:tc>
      </w:tr>
      <w:tr>
        <w:trPr>
          <w:trHeight w:val="179"/>
        </w:trPr>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0" w:type="dxa"/>
            <w:vAlign w:val="bottom"/>
          </w:tcPr>
          <w:p>
            <w:pPr>
              <w:spacing w:after="0"/>
              <w:rPr>
                <w:sz w:val="1"/>
                <w:szCs w:val="1"/>
                <w:color w:val="auto"/>
              </w:rPr>
            </w:pPr>
          </w:p>
        </w:tc>
      </w:tr>
      <w:tr>
        <w:trPr>
          <w:trHeight w:val="160"/>
        </w:trPr>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252,625</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15,537</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(4,341)</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10,927</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11,274</w:t>
            </w: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767</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782</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101</w:t>
            </w:r>
          </w:p>
        </w:tc>
        <w:tc>
          <w:tcPr>
            <w:tcW w:w="0" w:type="dxa"/>
            <w:vAlign w:val="bottom"/>
          </w:tcPr>
          <w:p>
            <w:pPr>
              <w:spacing w:after="0"/>
              <w:rPr>
                <w:sz w:val="1"/>
                <w:szCs w:val="1"/>
                <w:color w:val="auto"/>
              </w:rPr>
            </w:pPr>
          </w:p>
        </w:tc>
      </w:tr>
      <w:tr>
        <w:trPr>
          <w:trHeight w:val="170"/>
        </w:trPr>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70"/>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328"/>
        </w:trPr>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0" w:type="dxa"/>
            <w:vAlign w:val="bottom"/>
          </w:tcPr>
          <w:p>
            <w:pPr>
              <w:spacing w:after="0"/>
              <w:rPr>
                <w:sz w:val="1"/>
                <w:szCs w:val="1"/>
                <w:color w:val="auto"/>
              </w:rPr>
            </w:pPr>
          </w:p>
        </w:tc>
      </w:tr>
      <w:tr>
        <w:trPr>
          <w:trHeight w:val="160"/>
        </w:trPr>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252,263</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15,638</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(4,439)</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11,399</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11,761</w:t>
            </w: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884</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899</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w:t>
            </w:r>
          </w:p>
        </w:tc>
        <w:tc>
          <w:tcPr>
            <w:tcW w:w="0" w:type="dxa"/>
            <w:vAlign w:val="bottom"/>
          </w:tcPr>
          <w:p>
            <w:pPr>
              <w:spacing w:after="0"/>
              <w:rPr>
                <w:sz w:val="1"/>
                <w:szCs w:val="1"/>
                <w:color w:val="auto"/>
              </w:rPr>
            </w:pPr>
          </w:p>
        </w:tc>
      </w:tr>
      <w:tr>
        <w:trPr>
          <w:trHeight w:val="170"/>
        </w:trPr>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70"/>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0" w:type="dxa"/>
            <w:vAlign w:val="bottom"/>
          </w:tcPr>
          <w:p>
            <w:pPr>
              <w:spacing w:after="0"/>
              <w:rPr>
                <w:sz w:val="1"/>
                <w:szCs w:val="1"/>
                <w:color w:val="auto"/>
              </w:rPr>
            </w:pPr>
          </w:p>
        </w:tc>
      </w:tr>
      <w:tr>
        <w:trPr>
          <w:trHeight w:val="328"/>
        </w:trPr>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0" w:type="dxa"/>
            <w:vAlign w:val="bottom"/>
          </w:tcPr>
          <w:p>
            <w:pPr>
              <w:spacing w:after="0"/>
              <w:rPr>
                <w:sz w:val="1"/>
                <w:szCs w:val="1"/>
                <w:color w:val="auto"/>
              </w:rPr>
            </w:pPr>
          </w:p>
        </w:tc>
      </w:tr>
      <w:tr>
        <w:trPr>
          <w:trHeight w:val="160"/>
        </w:trPr>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252,052</w:t>
            </w:r>
          </w:p>
        </w:tc>
        <w:tc>
          <w:tcPr>
            <w:tcW w:w="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56</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15,752</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(4,502)</w:t>
            </w: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150</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632</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12,088</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377</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12,465</w:t>
            </w: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-2774950</wp:posOffset>
            </wp:positionV>
            <wp:extent cx="7148195"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-2552700</wp:posOffset>
            </wp:positionV>
            <wp:extent cx="7148195" cy="107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-2337435</wp:posOffset>
            </wp:positionV>
            <wp:extent cx="7148195" cy="107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-2121535</wp:posOffset>
            </wp:positionV>
            <wp:extent cx="7148195" cy="107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-1656715</wp:posOffset>
            </wp:positionV>
            <wp:extent cx="7148195" cy="107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-1441450</wp:posOffset>
            </wp:positionV>
            <wp:extent cx="7148195" cy="107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-1225550</wp:posOffset>
            </wp:positionV>
            <wp:extent cx="7148195"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9461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-774065</wp:posOffset>
            </wp:positionV>
            <wp:extent cx="7148195" cy="107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-558800</wp:posOffset>
            </wp:positionV>
            <wp:extent cx="7148195" cy="107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-342900</wp:posOffset>
            </wp:positionV>
            <wp:extent cx="7148195"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9461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-140970</wp:posOffset>
            </wp:positionV>
            <wp:extent cx="714819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2827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-1023620</wp:posOffset>
            </wp:positionV>
            <wp:extent cx="714819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2827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-1906270</wp:posOffset>
            </wp:positionV>
            <wp:extent cx="714819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500"/>
            <w:col w:w="9000"/>
          </w:cols>
          <w:pgMar w:left="300" w:top="12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in millions, unless otherwise stated)</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Accumu-</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lated</w:t>
            </w: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Outstanding</w:t>
            </w: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right"/>
              <w:ind w:right="120"/>
              <w:spacing w:after="0" w:line="110" w:lineRule="exact"/>
              <w:rPr>
                <w:sz w:val="20"/>
                <w:szCs w:val="20"/>
                <w:color w:val="auto"/>
              </w:rPr>
            </w:pPr>
            <w:r>
              <w:rPr>
                <w:rFonts w:ascii="Times New Roman" w:cs="Times New Roman" w:eastAsia="Times New Roman" w:hAnsi="Times New Roman"/>
                <w:sz w:val="11"/>
                <w:szCs w:val="11"/>
                <w:color w:val="auto"/>
              </w:rPr>
              <w:t>other</w:t>
            </w: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Total</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Non-</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Capital in</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Treasury</w:t>
            </w:r>
          </w:p>
        </w:tc>
        <w:tc>
          <w:tcPr>
            <w:tcW w:w="108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compre-</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Accumu-</w:t>
            </w:r>
          </w:p>
        </w:tc>
        <w:tc>
          <w:tcPr>
            <w:tcW w:w="96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number of</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Common</w:t>
            </w:r>
          </w:p>
        </w:tc>
        <w:tc>
          <w:tcPr>
            <w:tcW w:w="96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hensive</w:t>
            </w:r>
          </w:p>
        </w:tc>
        <w:tc>
          <w:tcPr>
            <w:tcW w:w="1060" w:type="dxa"/>
            <w:vAlign w:val="bottom"/>
            <w:gridSpan w:val="2"/>
            <w:vMerge w:val="continue"/>
          </w:tcPr>
          <w:p>
            <w:pPr>
              <w:spacing w:after="0"/>
              <w:rPr>
                <w:sz w:val="9"/>
                <w:szCs w:val="9"/>
                <w:color w:val="auto"/>
              </w:rPr>
            </w:pPr>
          </w:p>
        </w:tc>
        <w:tc>
          <w:tcPr>
            <w:tcW w:w="96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1"/>
                <w:szCs w:val="11"/>
                <w:color w:val="auto"/>
              </w:rPr>
              <w:t>stock-</w:t>
            </w:r>
          </w:p>
        </w:tc>
        <w:tc>
          <w:tcPr>
            <w:tcW w:w="9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color w:val="auto"/>
              </w:rPr>
              <w:t>con-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shares (in</w:t>
            </w:r>
          </w:p>
        </w:tc>
        <w:tc>
          <w:tcPr>
            <w:tcW w:w="940" w:type="dxa"/>
            <w:vAlign w:val="bottom"/>
            <w:gridSpan w:val="2"/>
            <w:vMerge w:val="continue"/>
          </w:tcPr>
          <w:p>
            <w:pPr>
              <w:spacing w:after="0"/>
              <w:rPr>
                <w:sz w:val="10"/>
                <w:szCs w:val="10"/>
                <w:color w:val="auto"/>
              </w:rPr>
            </w:pPr>
          </w:p>
        </w:tc>
        <w:tc>
          <w:tcPr>
            <w:tcW w:w="9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excess of</w:t>
            </w:r>
          </w:p>
        </w:tc>
        <w:tc>
          <w:tcPr>
            <w:tcW w:w="9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shares at</w:t>
            </w:r>
          </w:p>
        </w:tc>
        <w:tc>
          <w:tcPr>
            <w:tcW w:w="108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income</w:t>
            </w:r>
          </w:p>
        </w:tc>
        <w:tc>
          <w:tcPr>
            <w:tcW w:w="106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lated</w:t>
            </w:r>
          </w:p>
        </w:tc>
        <w:tc>
          <w:tcPr>
            <w:tcW w:w="96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holders’</w:t>
            </w:r>
          </w:p>
        </w:tc>
        <w:tc>
          <w:tcPr>
            <w:tcW w:w="9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trolling</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thousands)</w:t>
            </w:r>
          </w:p>
        </w:tc>
        <w:tc>
          <w:tcPr>
            <w:tcW w:w="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stock</w:t>
            </w:r>
          </w:p>
        </w:tc>
        <w:tc>
          <w:tcPr>
            <w:tcW w:w="9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par value</w:t>
            </w:r>
          </w:p>
        </w:tc>
        <w:tc>
          <w:tcPr>
            <w:tcW w:w="9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cost</w:t>
            </w: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(loss)</w:t>
            </w: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deficit</w:t>
            </w: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equity</w:t>
            </w:r>
          </w:p>
        </w:tc>
        <w:tc>
          <w:tcPr>
            <w:tcW w:w="9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interests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equity</w:t>
            </w:r>
          </w:p>
        </w:tc>
        <w:tc>
          <w:tcPr>
            <w:tcW w:w="0" w:type="dxa"/>
            <w:vAlign w:val="bottom"/>
          </w:tcPr>
          <w:p>
            <w:pPr>
              <w:spacing w:after="0"/>
              <w:rPr>
                <w:sz w:val="1"/>
                <w:szCs w:val="1"/>
                <w:color w:val="auto"/>
              </w:rPr>
            </w:pPr>
          </w:p>
        </w:tc>
      </w:tr>
      <w:tr>
        <w:trPr>
          <w:trHeight w:val="165"/>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254,324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14,962</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(4,004)</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9,183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9,531</w:t>
            </w:r>
          </w:p>
        </w:tc>
        <w:tc>
          <w:tcPr>
            <w:tcW w:w="0" w:type="dxa"/>
            <w:vAlign w:val="bottom"/>
          </w:tcPr>
          <w:p>
            <w:pPr>
              <w:spacing w:after="0"/>
              <w:rPr>
                <w:sz w:val="1"/>
                <w:szCs w:val="1"/>
                <w:color w:val="auto"/>
              </w:rPr>
            </w:pPr>
          </w:p>
        </w:tc>
      </w:tr>
      <w:tr>
        <w:trPr>
          <w:trHeight w:val="160"/>
        </w:trPr>
        <w:tc>
          <w:tcPr>
            <w:tcW w:w="2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497</w:t>
            </w: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 (loss)</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60"/>
        </w:trPr>
        <w:tc>
          <w:tcPr>
            <w:tcW w:w="2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Share-based compensation plans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131</w:t>
            </w: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Shares issued pursuant to stock awards</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60"/>
        </w:trPr>
        <w:tc>
          <w:tcPr>
            <w:tcW w:w="2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Treasury shares repurchased and retired</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0" w:type="dxa"/>
            <w:vAlign w:val="bottom"/>
          </w:tcPr>
          <w:p>
            <w:pPr>
              <w:spacing w:after="0"/>
              <w:rPr>
                <w:sz w:val="1"/>
                <w:szCs w:val="1"/>
                <w:color w:val="auto"/>
              </w:rPr>
            </w:pPr>
          </w:p>
        </w:tc>
      </w:tr>
      <w:tr>
        <w:trPr>
          <w:trHeight w:val="170"/>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common stock ($1.014 per share)</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0" w:type="dxa"/>
            <w:vAlign w:val="bottom"/>
          </w:tcPr>
          <w:p>
            <w:pPr>
              <w:spacing w:after="0"/>
              <w:rPr>
                <w:sz w:val="1"/>
                <w:szCs w:val="1"/>
                <w:color w:val="auto"/>
              </w:rPr>
            </w:pPr>
          </w:p>
        </w:tc>
      </w:tr>
      <w:tr>
        <w:trPr>
          <w:trHeight w:val="166"/>
        </w:trPr>
        <w:tc>
          <w:tcPr>
            <w:tcW w:w="24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as of March 30, 2025</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253,149</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15,093</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(4,253)</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(1,603)</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9,322</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9,677</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457</w:t>
            </w:r>
          </w:p>
        </w:tc>
        <w:tc>
          <w:tcPr>
            <w:tcW w:w="0" w:type="dxa"/>
            <w:vAlign w:val="bottom"/>
          </w:tcPr>
          <w:p>
            <w:pPr>
              <w:spacing w:after="0"/>
              <w:rPr>
                <w:sz w:val="1"/>
                <w:szCs w:val="1"/>
                <w:color w:val="auto"/>
              </w:rPr>
            </w:pPr>
          </w:p>
        </w:tc>
      </w:tr>
      <w:tr>
        <w:trPr>
          <w:trHeight w:val="160"/>
        </w:trPr>
        <w:tc>
          <w:tcPr>
            <w:tcW w:w="2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comprehensive income (loss)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141</w:t>
            </w: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Share-based compensation plans</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60"/>
        </w:trPr>
        <w:tc>
          <w:tcPr>
            <w:tcW w:w="2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Shares issued pursuant to stock awards</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Treasury shares repurchased and retired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0" w:type="dxa"/>
            <w:vAlign w:val="bottom"/>
          </w:tcPr>
          <w:p>
            <w:pPr>
              <w:spacing w:after="0"/>
              <w:rPr>
                <w:sz w:val="1"/>
                <w:szCs w:val="1"/>
                <w:color w:val="auto"/>
              </w:rPr>
            </w:pPr>
          </w:p>
        </w:tc>
      </w:tr>
      <w:tr>
        <w:trPr>
          <w:trHeight w:val="142"/>
        </w:trPr>
        <w:tc>
          <w:tcPr>
            <w:tcW w:w="2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Dividends non-controlling interests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common stock ($1.014 per share)</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0" w:type="dxa"/>
            <w:vAlign w:val="bottom"/>
          </w:tcPr>
          <w:p>
            <w:pPr>
              <w:spacing w:after="0"/>
              <w:rPr>
                <w:sz w:val="1"/>
                <w:szCs w:val="1"/>
                <w:color w:val="auto"/>
              </w:rPr>
            </w:pPr>
          </w:p>
        </w:tc>
      </w:tr>
      <w:tr>
        <w:trPr>
          <w:trHeight w:val="166"/>
        </w:trPr>
        <w:tc>
          <w:tcPr>
            <w:tcW w:w="24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as of June 29, 2025</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252,114</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15,206</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(4,441)</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(1,422)</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9,569</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9,936</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631</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646</w:t>
            </w:r>
          </w:p>
        </w:tc>
        <w:tc>
          <w:tcPr>
            <w:tcW w:w="0" w:type="dxa"/>
            <w:vAlign w:val="bottom"/>
          </w:tcPr>
          <w:p>
            <w:pPr>
              <w:spacing w:after="0"/>
              <w:rPr>
                <w:sz w:val="1"/>
                <w:szCs w:val="1"/>
                <w:color w:val="auto"/>
              </w:rPr>
            </w:pPr>
          </w:p>
        </w:tc>
      </w:tr>
      <w:tr>
        <w:trPr>
          <w:trHeight w:val="160"/>
        </w:trPr>
        <w:tc>
          <w:tcPr>
            <w:tcW w:w="2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Share-based compensation plans</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w:t>
            </w:r>
          </w:p>
        </w:tc>
        <w:tc>
          <w:tcPr>
            <w:tcW w:w="0" w:type="dxa"/>
            <w:vAlign w:val="bottom"/>
          </w:tcPr>
          <w:p>
            <w:pPr>
              <w:spacing w:after="0"/>
              <w:rPr>
                <w:sz w:val="1"/>
                <w:szCs w:val="1"/>
                <w:color w:val="auto"/>
              </w:rPr>
            </w:pPr>
          </w:p>
        </w:tc>
      </w:tr>
      <w:tr>
        <w:trPr>
          <w:trHeight w:val="160"/>
        </w:trPr>
        <w:tc>
          <w:tcPr>
            <w:tcW w:w="2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Shares issued pursuant to stock awards</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Treasury shares repurchased and retired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160"/>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Dividends common stock ($1.014 per share)</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0" w:type="dxa"/>
            <w:vAlign w:val="bottom"/>
          </w:tcPr>
          <w:p>
            <w:pPr>
              <w:spacing w:after="0"/>
              <w:rPr>
                <w:sz w:val="1"/>
                <w:szCs w:val="1"/>
                <w:color w:val="auto"/>
              </w:rPr>
            </w:pPr>
          </w:p>
        </w:tc>
      </w:tr>
      <w:tr>
        <w:trPr>
          <w:trHeight w:val="191"/>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September 28, 2025</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252,125</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15,324</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(4,439)</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10,045</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10,427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NXP SEMICONDUCTORS N.V.</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millions of $ unless otherwise stated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Basis of Presentation and Overview</w:t>
      </w:r>
    </w:p>
    <w:p>
      <w:pPr>
        <w:spacing w:after="0" w:line="20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We prepared our interim Condensed Consolidated Financial Statements that accompany these notes in conformity with U.S. generally accepted accounting principles, consistent in all material respects with those applied in our Annual Report on Form 10-K for the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We have made estimates and judgments affecting the amounts reported in our Condensed Consolidated Financial Statements and the accompanying notes. The actual results that we experience may differ materially from our estimates. The interim financial information is unaudited, but reflects all normal adjustments that are, in our opinion, necessary to provide a fair statement of results for the interim periods presented. This interim information should be read in conjunction with the Consolidated Financial Statements in our Annual Report on Form 10-K for the year ended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reporting</w:t>
      </w:r>
    </w:p>
    <w:p>
      <w:pPr>
        <w:spacing w:after="0" w:line="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4"/>
          <w:szCs w:val="14"/>
          <w:color w:val="auto"/>
        </w:rPr>
        <w:t>NXP has one reportable segment representing the entity as a whole, aligning with our organizational structure and with the way our chief operating decision maker ("CODM"), the Chief Executive Officer, makes operating decisions, allocates resources, and manages the growth and profitability of the Company.</w:t>
      </w:r>
    </w:p>
    <w:p>
      <w:pPr>
        <w:spacing w:after="0" w:line="15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CODM regularly reviews income and expense items at the consolidated company (reporting segment) level and uses net income to evaluate income generated from total assets to evaluate whether and how to reinvest profits into the entity’s operations, shareholder return, acquisitions or otherwise. Net income is also used to monitor budget versus actual results, forecasted information and in competitive analysis. These interim income and expense items are included on the Condensed Consolidated Statements of Operations and in our notes to the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Dual principal executive offices</w:t>
      </w:r>
    </w:p>
    <w:p>
      <w:pPr>
        <w:spacing w:after="0" w:line="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4"/>
          <w:szCs w:val="14"/>
          <w:color w:val="auto"/>
        </w:rPr>
        <w:t>The Company maintains two principal executive offices, with global management leadership based in the Netherlands (Eindhoven, which is also our legal corporate headquarters) and in the United States (Austin, TX). The Company is also establishing Singapore as a regional hub.</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 and Recent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6" w:lineRule="exact"/>
        <w:rPr>
          <w:sz w:val="20"/>
          <w:szCs w:val="20"/>
          <w:color w:val="auto"/>
        </w:rPr>
      </w:pPr>
    </w:p>
    <w:p>
      <w:pPr>
        <w:jc w:val="both"/>
        <w:ind w:right="200"/>
        <w:spacing w:after="0" w:line="242" w:lineRule="auto"/>
        <w:rPr>
          <w:sz w:val="20"/>
          <w:szCs w:val="20"/>
          <w:color w:val="auto"/>
        </w:rPr>
      </w:pPr>
      <w:r>
        <w:rPr>
          <w:rFonts w:ascii="Times New Roman" w:cs="Times New Roman" w:eastAsia="Times New Roman" w:hAnsi="Times New Roman"/>
          <w:sz w:val="14"/>
          <w:szCs w:val="14"/>
          <w:color w:val="auto"/>
        </w:rPr>
        <w:t>For a discussion of our significant accounting policies, see Part II – Item 8. Financial Statements and Supplementary Data – Notes to Consolidated Financial Statements – “Significant Accounting Policies” of our Annual Report on Form 10-K for the year ended December 31, 2025. There have been no changes to our significant accounting policies since our Annual Report on Form 10-K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not yet adopted</w:t>
      </w:r>
    </w:p>
    <w:p>
      <w:pPr>
        <w:spacing w:after="0" w:line="2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In November 2024, the FASB issued Accounting Standards Update (ASU) 2024-03, Disaggregation of Income Statement Expenses. The standard requires disaggregated disclosure of income statement expenses. It requires disaggregation of certain expense captions into specified categories in disclosures within the footnotes to the financial statements. ASU 2024-03 is effective for fiscal years beginning after December 15, 2026, with early adoption permitted. We are currently evaluating the effect of this new guidance on our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other new accounting pronouncements were issued or became effective in the period that had, or are expected to have, a material impact on our Consolidated Financial Statements.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Acquisitions and Divestments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w:t>
      </w:r>
    </w:p>
    <w:p>
      <w:pPr>
        <w:spacing w:after="0" w:line="25" w:lineRule="exact"/>
        <w:rPr>
          <w:sz w:val="20"/>
          <w:szCs w:val="20"/>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On February 2, 2026, we completed the sale of our MEMS Sensors business, previously classified as held for sale, pursuant to the definitive agreement with STMicroelectronics International N.V. dated July 24, 2025. At closing, we received $878 million in cash, with the potential to receive an additional $50 million contingent upon the achievement of specified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closing technical milestones ("earn-out receivable"). The earn-out receivable was measured at fair value at closing and included in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9" w:right="319" w:bottom="1440" w:gutter="0" w:footer="0" w:header="0"/>
        </w:sectPr>
      </w:pPr>
    </w:p>
    <w:bookmarkStart w:id="13" w:name="page14"/>
    <w:bookmarkEnd w:id="13"/>
    <w:p>
      <w:pPr>
        <w:ind w:right="480"/>
        <w:spacing w:after="0" w:line="287" w:lineRule="auto"/>
        <w:rPr>
          <w:sz w:val="20"/>
          <w:szCs w:val="20"/>
          <w:color w:val="auto"/>
        </w:rPr>
      </w:pPr>
      <w:r>
        <w:rPr>
          <w:rFonts w:ascii="Times New Roman" w:cs="Times New Roman" w:eastAsia="Times New Roman" w:hAnsi="Times New Roman"/>
          <w:sz w:val="14"/>
          <w:szCs w:val="14"/>
          <w:color w:val="auto"/>
        </w:rPr>
        <w:t>consideration transferred, with subsequent changes in fair value recognized in earnings. This resulted in a gain on sale of $627 million recorded in "Other income (expense)" in the Condensed Consolidated Statements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acquisitions during the first nine months of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TTTech Auto acquisition</w:t>
      </w:r>
    </w:p>
    <w:p>
      <w:pPr>
        <w:spacing w:after="0" w:line="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On June 17, 2025, NXP announced the closing of the acquisition of 100% of TTTech Auto for $766 million in cash ($675 million net of cash acquired). TTTech Auto is a leader in innovating unique safety-critical systems and middleware for software-defined vehicles (SDVs). The TTTech Auto acquisition complements and expands NXP’s system and software offerings in the Automotive and Industrial &amp; IoT end markets.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tcPr>
          <w:p>
            <w:pPr>
              <w:spacing w:after="0"/>
              <w:rPr>
                <w:sz w:val="20"/>
                <w:szCs w:val="20"/>
                <w:color w:val="auto"/>
              </w:rPr>
            </w:pPr>
            <w:r>
              <w:rPr>
                <w:rFonts w:ascii="Times New Roman" w:cs="Times New Roman" w:eastAsia="Times New Roman" w:hAnsi="Times New Roman"/>
                <w:sz w:val="14"/>
                <w:szCs w:val="14"/>
                <w:color w:val="auto"/>
              </w:rPr>
              <w:t>The fair values of the assets acquired, and liabilities assumed in the TTTech Auto acquisition, by major class, were recognized as follows:</w:t>
            </w:r>
          </w:p>
        </w:tc>
        <w:tc>
          <w:tcPr>
            <w:tcW w:w="1740" w:type="dxa"/>
            <w:vAlign w:val="bottom"/>
          </w:tcPr>
          <w:p>
            <w:pPr>
              <w:spacing w:after="0"/>
              <w:rPr>
                <w:sz w:val="16"/>
                <w:szCs w:val="16"/>
                <w:color w:val="auto"/>
              </w:rPr>
            </w:pPr>
          </w:p>
        </w:tc>
      </w:tr>
      <w:tr>
        <w:trPr>
          <w:trHeight w:val="213"/>
        </w:trPr>
        <w:tc>
          <w:tcPr>
            <w:tcW w:w="9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91"/>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91"/>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1"/>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1"/>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Identified intangible assets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91"/>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8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20"/>
        </w:trPr>
        <w:tc>
          <w:tcPr>
            <w:tcW w:w="9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valuation procedures related to the acquired assets and assumed liabilities were completed during the first quarter of 2026.</w:t>
      </w:r>
    </w:p>
    <w:p>
      <w:pPr>
        <w:spacing w:after="0" w:line="18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Goodwill arising from the TTTech Auto acquisition is attributed to the anticipated growth from new product sales, sales to new customers, the assembled workforce, and synergies expected from the combination. The goodwill recognized is non-deductible for income tax purposes.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The identified intangible assets assumed were recognized as follows: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84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Estimated Useful Life (in</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82"/>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1"/>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1"/>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Order backlog</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7"/>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intangible assets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w:t>
            </w: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income approach was applied to estimate the fair values of the intangible assets acquired. Software, technology, customer relationships, and order backlog were valued using the excess earnings method, which reflects the present values of the projected cash flows that are expected to be generated by the software, technology, customer relationships, and order backlog less charges representing the contribution of other assets to those cash flows.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Aviva Links acquisition</w:t>
      </w:r>
    </w:p>
    <w:p>
      <w:pPr>
        <w:spacing w:after="0" w:line="2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On October 24, 2025, NXP closed the previously announced acquisition of 100% of Aviva Links for $222 million in cash ($202 million net of cash acquired) and $26 million through the settlement of previously held investments in Aviva Links. Aviva Links is a provider of Automotive SerDes Alliance (ASA) compliant in-vehicle connectivity solutions. The Aviva Links acquisition complements and expands NXP’s automotive networking solutions in the Automotive and Industrial &amp; IoT end markets.</w:t>
      </w:r>
    </w:p>
    <w:p>
      <w:pPr>
        <w:spacing w:after="0"/>
        <w:rPr>
          <w:sz w:val="20"/>
          <w:szCs w:val="20"/>
          <w:color w:val="auto"/>
        </w:rPr>
      </w:pPr>
      <w:r>
        <w:rPr>
          <w:rFonts w:ascii="Times New Roman" w:cs="Times New Roman" w:eastAsia="Times New Roman" w:hAnsi="Times New Roman"/>
          <w:sz w:val="14"/>
          <w:szCs w:val="14"/>
          <w:color w:val="auto"/>
        </w:rPr>
        <w:t>The fair values of the assets acquired, and liabilities assumed in the Aviva Links acquisition, by major class, were recognized as follows: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1"/>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1"/>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1"/>
        </w:trPr>
        <w:tc>
          <w:tcPr>
            <w:tcW w:w="916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4"/>
                <w:szCs w:val="14"/>
                <w:color w:val="auto"/>
              </w:rPr>
              <w:t>In-Process R&amp;D ("IPR&amp;D")</w:t>
            </w:r>
            <w:r>
              <w:rPr>
                <w:rFonts w:ascii="Times New Roman" w:cs="Times New Roman" w:eastAsia="Times New Roman" w:hAnsi="Times New Roman"/>
                <w:sz w:val="18"/>
                <w:szCs w:val="18"/>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91"/>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7"/>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Acquired IPR&amp;D is an intangible asset classified as an indefinite lived asset until the completion or abandonment of the associated research and development effort. IPR&amp;D will be amortized over an estimated useful life to be determined at the date the associated research and development effort is completed, or expensed immediately when, and if, the project is abandoned. Acquired IPR&amp;D is not amortized during the period that it is considered indefinitely lived but rather is subject to annual testing for impairment or when there are indicators for impairment.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valuation procedures related to the acquired assets and assumed liabilities were completed during the third quarter of 2026.</w:t>
      </w:r>
    </w:p>
    <w:p>
      <w:pPr>
        <w:spacing w:after="0" w:line="20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Goodwill arising from the Aviva Links acquisition is attributed to the value related to new technological innovations from future product sales, sales to new customers, the assembled workforce, and synergies expected from the combination. The goodwill recognized is non-deductible for income tax purposes.</w:t>
      </w:r>
    </w:p>
    <w:p>
      <w:pPr>
        <w:spacing w:after="0" w:line="14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excess earnings method, a variant of the income approach, was applied to estimate the fair value of the IPR&amp;D acquired. The fair value represents the present value of the projected cash flows that are expected to be generated by the IPR&amp;D, adjusted for contributory asset charges related to other acquired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Kinara, Inc. acquisition</w:t>
      </w:r>
    </w:p>
    <w:p>
      <w:pPr>
        <w:spacing w:after="0" w:line="25"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4"/>
          <w:szCs w:val="14"/>
          <w:color w:val="auto"/>
        </w:rPr>
        <w:t>On October 27, 2025, NXP closed the previously announced acquisition of 100% of Kinara, Inc. for $284 million in cash ($283 million net of cash acquired). Kinara is an industry leader in high performance, energy-efficient and programmable discrete neural processing units (NPUs). The Kinara acquisition complements and expands NXP’s solutions for AI-powered edge systems in the Industrial &amp; IoT and Automotive end markets.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tcPr>
          <w:p>
            <w:pPr>
              <w:spacing w:after="0"/>
              <w:rPr>
                <w:sz w:val="20"/>
                <w:szCs w:val="20"/>
                <w:color w:val="auto"/>
              </w:rPr>
            </w:pPr>
            <w:r>
              <w:rPr>
                <w:rFonts w:ascii="Times New Roman" w:cs="Times New Roman" w:eastAsia="Times New Roman" w:hAnsi="Times New Roman"/>
                <w:sz w:val="14"/>
                <w:szCs w:val="14"/>
                <w:color w:val="auto"/>
              </w:rPr>
              <w:t>The fair values of the assets acquired, and liabilities assumed in the Kinara acquisition, by major class, were recognized as follows:</w:t>
            </w:r>
          </w:p>
        </w:tc>
        <w:tc>
          <w:tcPr>
            <w:tcW w:w="1740" w:type="dxa"/>
            <w:vAlign w:val="bottom"/>
          </w:tcPr>
          <w:p>
            <w:pPr>
              <w:spacing w:after="0"/>
              <w:rPr>
                <w:sz w:val="16"/>
                <w:szCs w:val="16"/>
                <w:color w:val="auto"/>
              </w:rPr>
            </w:pPr>
          </w:p>
        </w:tc>
      </w:tr>
      <w:tr>
        <w:trPr>
          <w:trHeight w:val="213"/>
        </w:trPr>
        <w:tc>
          <w:tcPr>
            <w:tcW w:w="9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91"/>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1"/>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1"/>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Identified intangible assets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91"/>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7"/>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valuation procedures related to the acquired assets and assumed liabilities were completed during the third quarter of 2026.</w:t>
      </w:r>
    </w:p>
    <w:p>
      <w:pPr>
        <w:spacing w:after="0" w:line="20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Goodwill arising from the Kinara acquisition is attributed to the value related to new technological innovations from future product sales, sales to new customers, the assembled workforce, and synergies expected from the combination. The goodwill recognized is non-deductible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25"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The identified intangible assets assumed were recognized as follows: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84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Estimated Useful Life (in</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82"/>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Existing Technology</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1"/>
        </w:trPr>
        <w:tc>
          <w:tcPr>
            <w:tcW w:w="768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color w:val="auto"/>
              </w:rPr>
              <w:t>IPR&amp;D</w:t>
            </w:r>
            <w:r>
              <w:rPr>
                <w:rFonts w:ascii="Times New Roman" w:cs="Times New Roman" w:eastAsia="Times New Roman" w:hAnsi="Times New Roman"/>
                <w:sz w:val="18"/>
                <w:szCs w:val="18"/>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2"/>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identified intangible assets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254</w:t>
            </w:r>
          </w:p>
        </w:tc>
        <w:tc>
          <w:tcPr>
            <w:tcW w:w="100" w:type="dxa"/>
            <w:vAlign w:val="bottom"/>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right="220" w:firstLine="5"/>
        <w:spacing w:after="0" w:line="224" w:lineRule="auto"/>
        <w:tabs>
          <w:tab w:leader="none" w:pos="62"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IPR&amp;D is an intangible asset classified as an indefinite lived asset until the completion or abandonment of the associated research and development effort. IPR&amp;D will be amortized over an estimated useful life to be determined at the date the associated research and development effort is completed, or expensed immediately when, and if, the project is abandoned. Acquired IPR&amp;D is not amortized during the period that it is considered indefinitely lived but rather is subject to annual testing for impairment or when there are indicators for impairment.</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excess earnings method, a variant of the income approach, was applied to estimate the fair values of the technology and IPR&amp;D. The fair values represent the present values of the projected cash flows that are expected to be generated by the technology or IPR&amp;D, adjusted for contributory asset charges related to other acquired assets. In addition, the existing customer relationships are valued using the distributor method, a variant of the income approach, in which a market-based distributor profit margin is used to allocate profits to this intangible asset.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Divestments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divestments during the first nine months of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Assets Held for Sale</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During the fourth quarter of 2025, NXP management committed to selling the buildings and land at our Oak Hill site in Austin, Texas. The carrying amount of the site of $76 million was classified as held for sale and continues to be presented within current assets, representing the majority of the assets classified as held for sale as of September 27, 2026. The asset is available for immediate sale, is being actively marketed, and management expects the sale to be completed within the next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5 Supplemental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Statement of Operations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revenue disaggregated by sales channel:</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36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1"/>
        </w:trPr>
        <w:tc>
          <w:tcPr>
            <w:tcW w:w="4880" w:type="dxa"/>
            <w:vAlign w:val="bottom"/>
          </w:tcPr>
          <w:p>
            <w:pPr>
              <w:spacing w:after="0"/>
              <w:rPr>
                <w:sz w:val="14"/>
                <w:szCs w:val="14"/>
                <w:color w:val="auto"/>
              </w:rPr>
            </w:pPr>
          </w:p>
        </w:tc>
        <w:tc>
          <w:tcPr>
            <w:tcW w:w="184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84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Distributors</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6,178</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5,026</w:t>
            </w:r>
          </w:p>
        </w:tc>
      </w:tr>
      <w:tr>
        <w:trPr>
          <w:trHeight w:val="178"/>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Direct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3,810</w:t>
            </w:r>
          </w:p>
        </w:tc>
      </w:tr>
      <w:tr>
        <w:trPr>
          <w:trHeight w:val="19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69"/>
        </w:trPr>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 Revenue</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8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3,173</w:t>
            </w:r>
          </w:p>
        </w:tc>
        <w:tc>
          <w:tcPr>
            <w:tcW w:w="8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10,463</w:t>
            </w: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8,934</w:t>
            </w:r>
          </w:p>
        </w:tc>
      </w:tr>
      <w:tr>
        <w:trPr>
          <w:trHeight w:val="20"/>
        </w:trPr>
        <w:tc>
          <w:tcPr>
            <w:tcW w:w="48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and impairment</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58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1"/>
        </w:trPr>
        <w:tc>
          <w:tcPr>
            <w:tcW w:w="4900" w:type="dxa"/>
            <w:vAlign w:val="bottom"/>
          </w:tcPr>
          <w:p>
            <w:pPr>
              <w:spacing w:after="0"/>
              <w:rPr>
                <w:sz w:val="14"/>
                <w:szCs w:val="14"/>
                <w:color w:val="auto"/>
              </w:rPr>
            </w:pPr>
          </w:p>
        </w:tc>
        <w:tc>
          <w:tcPr>
            <w:tcW w:w="182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84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r>
      <w:tr>
        <w:trPr>
          <w:trHeight w:val="178"/>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internal use software</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other identified intangible assets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69"/>
        </w:trPr>
        <w:tc>
          <w:tcPr>
            <w:tcW w:w="4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 Depreciation, amortization and impairment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w:t>
            </w:r>
          </w:p>
        </w:tc>
      </w:tr>
      <w:tr>
        <w:trPr>
          <w:trHeight w:val="20"/>
        </w:trPr>
        <w:tc>
          <w:tcPr>
            <w:tcW w:w="49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income and expense</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36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1"/>
        </w:trPr>
        <w:tc>
          <w:tcPr>
            <w:tcW w:w="4880" w:type="dxa"/>
            <w:vAlign w:val="bottom"/>
          </w:tcPr>
          <w:p>
            <w:pPr>
              <w:spacing w:after="0"/>
              <w:rPr>
                <w:sz w:val="14"/>
                <w:szCs w:val="14"/>
                <w:color w:val="auto"/>
              </w:rPr>
            </w:pPr>
          </w:p>
        </w:tc>
        <w:tc>
          <w:tcPr>
            <w:tcW w:w="184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84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8"/>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r>
      <w:tr>
        <w:trPr>
          <w:trHeight w:val="18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financial income (expense)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69"/>
        </w:trPr>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 Financial income (expense)</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w:t>
            </w:r>
          </w:p>
        </w:tc>
      </w:tr>
      <w:tr>
        <w:trPr>
          <w:trHeight w:val="20"/>
        </w:trPr>
        <w:tc>
          <w:tcPr>
            <w:tcW w:w="48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computation of earnings per share (EPS) is presented in the following table:</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322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4"/>
                <w:szCs w:val="14"/>
                <w:color w:val="auto"/>
              </w:rPr>
            </w:pPr>
          </w:p>
        </w:tc>
        <w:tc>
          <w:tcPr>
            <w:tcW w:w="324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0" w:type="dxa"/>
            <w:vAlign w:val="bottom"/>
          </w:tcPr>
          <w:p>
            <w:pPr>
              <w:spacing w:after="0"/>
              <w:rPr>
                <w:sz w:val="1"/>
                <w:szCs w:val="1"/>
                <w:color w:val="auto"/>
              </w:rPr>
            </w:pPr>
          </w:p>
        </w:tc>
      </w:tr>
      <w:tr>
        <w:trPr>
          <w:trHeight w:val="17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0" w:type="dxa"/>
            <w:vAlign w:val="bottom"/>
          </w:tcPr>
          <w:p>
            <w:pPr>
              <w:spacing w:after="0"/>
              <w:rPr>
                <w:sz w:val="1"/>
                <w:szCs w:val="1"/>
                <w:color w:val="auto"/>
              </w:rPr>
            </w:pPr>
          </w:p>
        </w:tc>
      </w:tr>
      <w:tr>
        <w:trPr>
          <w:trHeight w:val="178"/>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stockholders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w w:val="98"/>
              </w:rPr>
              <w:t>Weighted average number of shares outstanding (after deduction of treasury shares) during</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252,123</w:t>
            </w:r>
          </w:p>
        </w:tc>
        <w:tc>
          <w:tcPr>
            <w:tcW w:w="10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252,170</w:t>
            </w:r>
          </w:p>
        </w:tc>
        <w:tc>
          <w:tcPr>
            <w:tcW w:w="8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252,414</w:t>
            </w:r>
          </w:p>
        </w:tc>
        <w:tc>
          <w:tcPr>
            <w:tcW w:w="8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252,759</w:t>
            </w:r>
          </w:p>
        </w:tc>
        <w:tc>
          <w:tcPr>
            <w:tcW w:w="0" w:type="dxa"/>
            <w:vAlign w:val="bottom"/>
          </w:tcPr>
          <w:p>
            <w:pPr>
              <w:spacing w:after="0"/>
              <w:rPr>
                <w:sz w:val="1"/>
                <w:szCs w:val="1"/>
                <w:color w:val="auto"/>
              </w:rPr>
            </w:pPr>
          </w:p>
        </w:tc>
      </w:tr>
      <w:tr>
        <w:trPr>
          <w:trHeight w:val="1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year (in thousands)</w:t>
            </w:r>
          </w:p>
        </w:tc>
        <w:tc>
          <w:tcPr>
            <w:tcW w:w="1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Plus incremental shares from assumed conversion of:</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Options </w:t>
            </w:r>
            <w:r>
              <w:rPr>
                <w:rFonts w:ascii="Times New Roman" w:cs="Times New Roman" w:eastAsia="Times New Roman" w:hAnsi="Times New Roman"/>
                <w:sz w:val="16"/>
                <w:szCs w:val="16"/>
                <w:color w:val="auto"/>
                <w:vertAlign w:val="superscript"/>
              </w:rPr>
              <w:t>1)</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91"/>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xml:space="preserve">Restricted Share Units, Performance Share Units and Equity Rights </w:t>
            </w:r>
            <w:r>
              <w:rPr>
                <w:rFonts w:ascii="Times New Roman" w:cs="Times New Roman" w:eastAsia="Times New Roman" w:hAnsi="Times New Roman"/>
                <w:sz w:val="16"/>
                <w:szCs w:val="16"/>
                <w:color w:val="auto"/>
                <w:vertAlign w:val="superscript"/>
              </w:rPr>
              <w:t>2)</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2,066</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0" w:type="dxa"/>
            <w:vAlign w:val="bottom"/>
          </w:tcPr>
          <w:p>
            <w:pPr>
              <w:spacing w:after="0"/>
              <w:rPr>
                <w:sz w:val="1"/>
                <w:szCs w:val="1"/>
                <w:color w:val="auto"/>
              </w:rPr>
            </w:pPr>
          </w:p>
        </w:tc>
      </w:tr>
      <w:tr>
        <w:trPr>
          <w:trHeight w:val="19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Dilutive potential common shares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1,431</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Adjusted weighted average number of shares outstanding (after deduction of treasury</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253,831</w:t>
            </w:r>
          </w:p>
        </w:tc>
        <w:tc>
          <w:tcPr>
            <w:tcW w:w="10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254,310</w:t>
            </w:r>
          </w:p>
        </w:tc>
        <w:tc>
          <w:tcPr>
            <w:tcW w:w="8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253,845</w:t>
            </w:r>
          </w:p>
        </w:tc>
        <w:tc>
          <w:tcPr>
            <w:tcW w:w="8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254,401</w:t>
            </w:r>
          </w:p>
        </w:tc>
        <w:tc>
          <w:tcPr>
            <w:tcW w:w="0" w:type="dxa"/>
            <w:vAlign w:val="bottom"/>
          </w:tcPr>
          <w:p>
            <w:pPr>
              <w:spacing w:after="0"/>
              <w:rPr>
                <w:sz w:val="1"/>
                <w:szCs w:val="1"/>
                <w:color w:val="auto"/>
              </w:rPr>
            </w:pPr>
          </w:p>
        </w:tc>
      </w:tr>
      <w:tr>
        <w:trPr>
          <w:trHeight w:val="1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during the year (in thousands)</w:t>
            </w:r>
          </w:p>
        </w:tc>
        <w:tc>
          <w:tcPr>
            <w:tcW w:w="1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EPS attributable to stockholders in $:</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net income (loss)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(loss)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00" w:right="220" w:hanging="163"/>
        <w:spacing w:after="0" w:line="219" w:lineRule="auto"/>
        <w:tabs>
          <w:tab w:leader="none" w:pos="242"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There were no stock options to purchase shares of NXP’s common stock that were outstanding in Q3 2026 and YTD 2026 (Q3 2025 and YTD 2025: no stock options to purchase shares) that were anti-dilutive and were not included in the computation of diluted EPS because the exercise price was greater than the average fair market value of the common stock or the number of shares assumed to be repurchased using the proceeds of unrecognized compensation expense and exercise prices were greater than the weighted average number of shares underlying outstanding stock options.</w:t>
      </w:r>
    </w:p>
    <w:p>
      <w:pPr>
        <w:spacing w:after="0" w:line="90" w:lineRule="exact"/>
        <w:rPr>
          <w:rFonts w:ascii="Times New Roman" w:cs="Times New Roman" w:eastAsia="Times New Roman" w:hAnsi="Times New Roman"/>
          <w:sz w:val="18"/>
          <w:szCs w:val="18"/>
          <w:color w:val="auto"/>
          <w:vertAlign w:val="superscript"/>
        </w:rPr>
      </w:pPr>
    </w:p>
    <w:p>
      <w:pPr>
        <w:ind w:left="200" w:hanging="163"/>
        <w:spacing w:after="0" w:line="229" w:lineRule="auto"/>
        <w:tabs>
          <w:tab w:leader="none" w:pos="23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There were no unvested RSUs, PSUs and equity rights that were outstanding in Q3 2026 and YTD 2026 (Q3 2025 and YTD 2025: 0.4 million unvested RSU's, PSU's and equity rights) that were anti-dilutive and were not included in the computation of diluted EPS because the number of shares assumed to be repurchased using the proceeds of unrecognized compensation expense were greater than the weighted average number of outstanding unvested RSUs, PSUs and equity rights or the performance goal has not been met.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Balance Sheet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At September 27, 2026, and December 31, 2025, our cash balance was $3,943 million and $3,267 million, respectively, of which $316 million and $361 million was held by SSMC, our consolidated joint venture company with TSMC. Under the terms of our joint venture agreement with TSMC, a portion of this cash can be distributed by way of a dividend to us, but 38.8% of the dividend will be paid to our joint venture partner. During 2025, no dividend was paid by SSMC. During the first quarter of 2026, SSMC declared a dividend of $150 million, payable in two equal installments of $75 million in the first and third quarters. Of each installment, 38.8% was paid to our joint venture partner, TSMC.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Inventories are summarized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84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7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Raw materials</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Work in process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1,778</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Finished goods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w:t>
            </w:r>
          </w:p>
        </w:tc>
      </w:tr>
      <w:tr>
        <w:trPr>
          <w:trHeight w:val="171"/>
        </w:trPr>
        <w:tc>
          <w:tcPr>
            <w:tcW w:w="764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10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2,577</w:t>
            </w:r>
          </w:p>
        </w:tc>
      </w:tr>
      <w:tr>
        <w:trPr>
          <w:trHeight w:val="20"/>
        </w:trPr>
        <w:tc>
          <w:tcPr>
            <w:tcW w:w="76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The amounts recorded above are net of allowance for obsolescence of $119 million as of September 27, 2026 (December 31, 2025: $152 million).</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September 27, 2026, and December 31, 2025, the total carrying value of investments in equity securities is summarized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84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7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Marketable equity securities</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Non-marketable equity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Equity-accounted investments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1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r>
      <w:tr>
        <w:trPr>
          <w:trHeight w:val="171"/>
        </w:trPr>
        <w:tc>
          <w:tcPr>
            <w:tcW w:w="764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10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945</w:t>
            </w:r>
          </w:p>
        </w:tc>
      </w:tr>
      <w:tr>
        <w:trPr>
          <w:trHeight w:val="20"/>
        </w:trPr>
        <w:tc>
          <w:tcPr>
            <w:tcW w:w="76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carrying value of investments in equity-accounted investees is summarized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00" w:type="dxa"/>
            <w:vAlign w:val="bottom"/>
          </w:tcPr>
          <w:p>
            <w:pPr>
              <w:spacing w:after="0"/>
              <w:rPr>
                <w:sz w:val="14"/>
                <w:szCs w:val="14"/>
                <w:color w:val="auto"/>
              </w:rPr>
            </w:pPr>
          </w:p>
        </w:tc>
        <w:tc>
          <w:tcPr>
            <w:tcW w:w="19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860" w:type="dxa"/>
            <w:vAlign w:val="bottom"/>
            <w:tcBorders>
              <w:bottom w:val="single" w:sz="8" w:color="auto"/>
            </w:tcBorders>
          </w:tcPr>
          <w:p>
            <w:pPr>
              <w:spacing w:after="0"/>
              <w:rPr>
                <w:sz w:val="14"/>
                <w:szCs w:val="14"/>
                <w:color w:val="auto"/>
              </w:rPr>
            </w:pPr>
          </w:p>
        </w:tc>
      </w:tr>
      <w:tr>
        <w:trPr>
          <w:trHeight w:val="171"/>
        </w:trPr>
        <w:tc>
          <w:tcPr>
            <w:tcW w:w="564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Shareholding %</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Shareholding %</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w w:val="92"/>
              </w:rPr>
              <w:t>Amount</w:t>
            </w:r>
          </w:p>
        </w:tc>
      </w:tr>
      <w:tr>
        <w:trPr>
          <w:trHeight w:val="17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VisionPower Semiconductor Manufacturing Company Pte. Ltd. (VSMC)</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40.00 %</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40.00 %</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w:t>
            </w:r>
          </w:p>
        </w:tc>
      </w:tr>
      <w:tr>
        <w:trPr>
          <w:trHeight w:val="180"/>
        </w:trPr>
        <w:tc>
          <w:tcPr>
            <w:tcW w:w="56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European Semiconductor Manufacturing Company (ESMC) GmbH </w:t>
            </w:r>
            <w:r>
              <w:rPr>
                <w:rFonts w:ascii="Times New Roman" w:cs="Times New Roman" w:eastAsia="Times New Roman" w:hAnsi="Times New Roman"/>
                <w:sz w:val="16"/>
                <w:szCs w:val="16"/>
                <w:color w:val="auto"/>
                <w:vertAlign w:val="superscript"/>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7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5"/>
                <w:szCs w:val="15"/>
                <w:color w:val="auto"/>
              </w:rPr>
            </w:pPr>
          </w:p>
        </w:tc>
        <w:tc>
          <w:tcPr>
            <w:tcW w:w="19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9"/>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6336030</wp:posOffset>
            </wp:positionH>
            <wp:positionV relativeFrom="paragraph">
              <wp:posOffset>2540</wp:posOffset>
            </wp:positionV>
            <wp:extent cx="81534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5340"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2540</wp:posOffset>
            </wp:positionV>
            <wp:extent cx="81534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5340" cy="6985"/>
                    </a:xfrm>
                    <a:prstGeom prst="rect">
                      <a:avLst/>
                    </a:prstGeom>
                    <a:noFill/>
                  </pic:spPr>
                </pic:pic>
              </a:graphicData>
            </a:graphic>
          </wp:anchor>
        </w:drawing>
      </w:r>
    </w:p>
    <w:p>
      <w:pPr>
        <w:spacing w:after="0" w:line="16" w:lineRule="exact"/>
        <w:rPr>
          <w:sz w:val="20"/>
          <w:szCs w:val="20"/>
          <w:color w:val="auto"/>
        </w:rPr>
      </w:pPr>
    </w:p>
    <w:p>
      <w:pPr>
        <w:ind w:left="140" w:right="20" w:hanging="121"/>
        <w:spacing w:after="0" w:line="218" w:lineRule="auto"/>
        <w:tabs>
          <w:tab w:leader="none" w:pos="113"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NXP accounts for its investment in ESMC under the equity method due to our ability to exercise significant influence over ESMC’s operations, primarily through representation on ESMC’s shareholders’ committee and other operational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6336030</wp:posOffset>
            </wp:positionH>
            <wp:positionV relativeFrom="paragraph">
              <wp:posOffset>-184785</wp:posOffset>
            </wp:positionV>
            <wp:extent cx="81534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5340"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-184785</wp:posOffset>
            </wp:positionV>
            <wp:extent cx="81534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5340" cy="698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Results related to equity-accounted investees at the end of each period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328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1"/>
        </w:trPr>
        <w:tc>
          <w:tcPr>
            <w:tcW w:w="49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Company's share in income (loss)</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left="996"/>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80"/>
        </w:trPr>
        <w:tc>
          <w:tcPr>
            <w:tcW w:w="6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Other results </w:t>
            </w:r>
            <w:r>
              <w:rPr>
                <w:rFonts w:ascii="Times New Roman" w:cs="Times New Roman" w:eastAsia="Times New Roman" w:hAnsi="Times New Roman"/>
                <w:sz w:val="16"/>
                <w:szCs w:val="16"/>
                <w:color w:val="auto"/>
                <w:vertAlign w:val="superscript"/>
              </w:rPr>
              <w:t>1)</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center"/>
              <w:ind w:left="9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494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center"/>
              <w:ind w:left="996"/>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bl>
    <w:p>
      <w:pPr>
        <w:ind w:left="120" w:hanging="101"/>
        <w:spacing w:after="0" w:line="215" w:lineRule="auto"/>
        <w:tabs>
          <w:tab w:leader="none" w:pos="12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nine-month period ending September 28, 2025, Other results include the impairment of our equity method investment SigmaSense.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-104140</wp:posOffset>
            </wp:positionV>
            <wp:extent cx="401510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15105" cy="698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current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at September 27, 2026, and December 31, 2025, consisted of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80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7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8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r>
      <w:tr>
        <w:trPr>
          <w:trHeight w:val="17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payable</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r>
      <w:tr>
        <w:trPr>
          <w:trHeight w:val="18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programs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7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payable</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w:t>
            </w:r>
          </w:p>
        </w:tc>
      </w:tr>
      <w:tr>
        <w:trPr>
          <w:trHeight w:val="171"/>
        </w:trPr>
        <w:tc>
          <w:tcPr>
            <w:tcW w:w="7640" w:type="dxa"/>
            <w:vAlign w:val="bottom"/>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8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1,445</w:t>
            </w: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w:t>
      </w:r>
    </w:p>
    <w:p>
      <w:pPr>
        <w:spacing w:after="0" w:line="20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4"/>
          <w:szCs w:val="14"/>
          <w:color w:val="auto"/>
        </w:rPr>
        <w:t>Total comprehensive income (loss) represents net income (loss) plus the results of certain equity changes not reflected in the Condensed Consolidated Statements of Operations. The after-tax components of accumulated other comprehensive income (loss) and their corresponding changes are shown below:</w:t>
      </w:r>
    </w:p>
    <w:tbl>
      <w:tblPr>
        <w:tblLayout w:type="fixed"/>
        <w:tblInd w:w="0" w:type="dxa"/>
        <w:tblCellMar>
          <w:top w:w="0" w:type="dxa"/>
          <w:left w:w="0" w:type="dxa"/>
          <w:bottom w:w="0" w:type="dxa"/>
          <w:right w:w="0" w:type="dxa"/>
        </w:tblCellMar>
      </w:tblPr>
      <w:tr>
        <w:trPr>
          <w:trHeight w:val="130"/>
        </w:trPr>
        <w:tc>
          <w:tcPr>
            <w:tcW w:w="5780" w:type="dxa"/>
            <w:vAlign w:val="bottom"/>
          </w:tcPr>
          <w:p>
            <w:pPr>
              <w:spacing w:after="0"/>
              <w:rPr>
                <w:sz w:val="11"/>
                <w:szCs w:val="11"/>
                <w:color w:val="auto"/>
              </w:rPr>
            </w:pPr>
          </w:p>
        </w:tc>
        <w:tc>
          <w:tcPr>
            <w:tcW w:w="1400" w:type="dxa"/>
            <w:vAlign w:val="bottom"/>
            <w:gridSpan w:val="2"/>
            <w:vMerge w:val="restart"/>
          </w:tcPr>
          <w:p>
            <w:pPr>
              <w:jc w:val="center"/>
              <w:ind w:left="536"/>
              <w:spacing w:after="0"/>
              <w:rPr>
                <w:sz w:val="20"/>
                <w:szCs w:val="20"/>
                <w:color w:val="auto"/>
              </w:rPr>
            </w:pPr>
            <w:r>
              <w:rPr>
                <w:rFonts w:ascii="Times New Roman" w:cs="Times New Roman" w:eastAsia="Times New Roman" w:hAnsi="Times New Roman"/>
                <w:sz w:val="13"/>
                <w:szCs w:val="13"/>
                <w:b w:val="1"/>
                <w:bCs w:val="1"/>
                <w:color w:val="auto"/>
                <w:w w:val="97"/>
              </w:rPr>
              <w:t>Currency</w:t>
            </w:r>
          </w:p>
        </w:tc>
        <w:tc>
          <w:tcPr>
            <w:tcW w:w="1380" w:type="dxa"/>
            <w:vAlign w:val="bottom"/>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27"/>
        </w:trPr>
        <w:tc>
          <w:tcPr>
            <w:tcW w:w="57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Net actuarial</w:t>
            </w:r>
          </w:p>
        </w:tc>
        <w:tc>
          <w:tcPr>
            <w:tcW w:w="15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27"/>
        </w:trPr>
        <w:tc>
          <w:tcPr>
            <w:tcW w:w="5780" w:type="dxa"/>
            <w:vAlign w:val="bottom"/>
          </w:tcPr>
          <w:p>
            <w:pPr>
              <w:spacing w:after="0"/>
              <w:rPr>
                <w:sz w:val="11"/>
                <w:szCs w:val="11"/>
                <w:color w:val="auto"/>
              </w:rPr>
            </w:pPr>
          </w:p>
        </w:tc>
        <w:tc>
          <w:tcPr>
            <w:tcW w:w="1400" w:type="dxa"/>
            <w:vAlign w:val="bottom"/>
            <w:gridSpan w:val="2"/>
          </w:tcPr>
          <w:p>
            <w:pPr>
              <w:jc w:val="center"/>
              <w:ind w:left="536"/>
              <w:spacing w:after="0" w:line="128" w:lineRule="exact"/>
              <w:rPr>
                <w:sz w:val="20"/>
                <w:szCs w:val="20"/>
                <w:color w:val="auto"/>
              </w:rPr>
            </w:pPr>
            <w:r>
              <w:rPr>
                <w:rFonts w:ascii="Times New Roman" w:cs="Times New Roman" w:eastAsia="Times New Roman" w:hAnsi="Times New Roman"/>
                <w:sz w:val="13"/>
                <w:szCs w:val="13"/>
                <w:b w:val="1"/>
                <w:bCs w:val="1"/>
                <w:color w:val="auto"/>
                <w:w w:val="98"/>
              </w:rPr>
              <w:t>translation</w:t>
            </w:r>
          </w:p>
        </w:tc>
        <w:tc>
          <w:tcPr>
            <w:tcW w:w="13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3"/>
                <w:szCs w:val="13"/>
                <w:b w:val="1"/>
                <w:bCs w:val="1"/>
                <w:color w:val="auto"/>
              </w:rPr>
              <w:t>cash flow</w:t>
            </w:r>
          </w:p>
        </w:tc>
        <w:tc>
          <w:tcPr>
            <w:tcW w:w="1180" w:type="dxa"/>
            <w:vAlign w:val="bottom"/>
            <w:gridSpan w:val="2"/>
            <w:vMerge w:val="continue"/>
          </w:tcPr>
          <w:p>
            <w:pPr>
              <w:spacing w:after="0"/>
              <w:rPr>
                <w:sz w:val="11"/>
                <w:szCs w:val="11"/>
                <w:color w:val="auto"/>
              </w:rPr>
            </w:pPr>
          </w:p>
        </w:tc>
        <w:tc>
          <w:tcPr>
            <w:tcW w:w="15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400" w:type="dxa"/>
            <w:vAlign w:val="bottom"/>
            <w:gridSpan w:val="2"/>
          </w:tcPr>
          <w:p>
            <w:pPr>
              <w:jc w:val="center"/>
              <w:ind w:left="536"/>
              <w:spacing w:after="0"/>
              <w:rPr>
                <w:sz w:val="20"/>
                <w:szCs w:val="20"/>
                <w:color w:val="auto"/>
              </w:rPr>
            </w:pPr>
            <w:r>
              <w:rPr>
                <w:rFonts w:ascii="Times New Roman" w:cs="Times New Roman" w:eastAsia="Times New Roman" w:hAnsi="Times New Roman"/>
                <w:sz w:val="13"/>
                <w:szCs w:val="13"/>
                <w:b w:val="1"/>
                <w:bCs w:val="1"/>
                <w:color w:val="auto"/>
                <w:w w:val="98"/>
              </w:rPr>
              <w:t>differences</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hedges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gain/(losses)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0" w:type="dxa"/>
            <w:vAlign w:val="bottom"/>
          </w:tcPr>
          <w:p>
            <w:pPr>
              <w:spacing w:after="0"/>
              <w:rPr>
                <w:sz w:val="1"/>
                <w:szCs w:val="1"/>
                <w:color w:val="auto"/>
              </w:rPr>
            </w:pPr>
          </w:p>
        </w:tc>
      </w:tr>
      <w:tr>
        <w:trPr>
          <w:trHeight w:val="172"/>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of December 31, 2025</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w w:val="91"/>
              </w:rPr>
              <w:t>2</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38"/>
        </w:trPr>
        <w:tc>
          <w:tcPr>
            <w:tcW w:w="57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Other comprehensive income (loss) before</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1"/>
                <w:szCs w:val="11"/>
                <w:color w:val="auto"/>
              </w:rPr>
            </w:pPr>
          </w:p>
        </w:tc>
        <w:tc>
          <w:tcPr>
            <w:tcW w:w="1300" w:type="dxa"/>
            <w:vAlign w:val="bottom"/>
            <w:vMerge w:val="restart"/>
          </w:tcPr>
          <w:p>
            <w:pPr>
              <w:jc w:val="center"/>
              <w:ind w:left="1056"/>
              <w:spacing w:after="0"/>
              <w:rPr>
                <w:sz w:val="20"/>
                <w:szCs w:val="20"/>
                <w:color w:val="auto"/>
              </w:rPr>
            </w:pPr>
            <w:r>
              <w:rPr>
                <w:rFonts w:ascii="Times New Roman" w:cs="Times New Roman" w:eastAsia="Times New Roman" w:hAnsi="Times New Roman"/>
                <w:sz w:val="13"/>
                <w:szCs w:val="13"/>
                <w:color w:val="auto"/>
                <w:w w:val="92"/>
              </w:rPr>
              <w:t>(5)</w:t>
            </w:r>
          </w:p>
        </w:tc>
        <w:tc>
          <w:tcPr>
            <w:tcW w:w="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8"/>
        </w:trPr>
        <w:tc>
          <w:tcPr>
            <w:tcW w:w="5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reclassifications</w:t>
            </w: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78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color w:val="auto"/>
              </w:rPr>
              <w:t>Amounts reclassified out of accumulated other</w:t>
            </w: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vMerge w:val="restart"/>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1400" w:type="dxa"/>
            <w:vAlign w:val="bottom"/>
            <w:gridSpan w:val="2"/>
            <w:vMerge w:val="continue"/>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effects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center"/>
              <w:ind w:left="1056"/>
              <w:spacing w:after="0"/>
              <w:rPr>
                <w:sz w:val="20"/>
                <w:szCs w:val="20"/>
                <w:color w:val="auto"/>
              </w:rPr>
            </w:pPr>
            <w:r>
              <w:rPr>
                <w:rFonts w:ascii="Times New Roman" w:cs="Times New Roman" w:eastAsia="Times New Roman" w:hAnsi="Times New Roman"/>
                <w:sz w:val="13"/>
                <w:szCs w:val="13"/>
                <w:color w:val="auto"/>
                <w:w w:val="91"/>
              </w:rPr>
              <w:t>2</w:t>
            </w:r>
          </w:p>
        </w:tc>
        <w:tc>
          <w:tcPr>
            <w:tcW w:w="80" w:type="dxa"/>
            <w:vAlign w:val="bottom"/>
          </w:tcPr>
          <w:p>
            <w:pPr>
              <w:spacing w:after="0"/>
              <w:rPr>
                <w:sz w:val="15"/>
                <w:szCs w:val="15"/>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1"/>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w w:val="92"/>
              </w:rPr>
              <w:t>(4)</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71"/>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of September 27, 2026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4"/>
                <w:szCs w:val="14"/>
                <w:color w:val="auto"/>
              </w:rPr>
            </w:pPr>
          </w:p>
        </w:tc>
        <w:tc>
          <w:tcPr>
            <w:tcW w:w="1300" w:type="dxa"/>
            <w:vAlign w:val="bottom"/>
            <w:tcBorders>
              <w:bottom w:val="single" w:sz="8" w:color="auto"/>
            </w:tcBorders>
          </w:tcPr>
          <w:p>
            <w:pPr>
              <w:jc w:val="center"/>
              <w:ind w:left="1056"/>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dividends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dividends were declared during the first nine months of 2026 and 2025 under NXP’s quarterly dividend program:</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20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3"/>
                <w:szCs w:val="13"/>
                <w:b w:val="1"/>
                <w:bCs w:val="1"/>
                <w:color w:val="auto"/>
              </w:rPr>
              <w:t>Fiscal Year 2026</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3"/>
                <w:szCs w:val="13"/>
                <w:b w:val="1"/>
                <w:bCs w:val="1"/>
                <w:color w:val="auto"/>
              </w:rPr>
              <w:t>Fiscal Year 2025</w:t>
            </w:r>
          </w:p>
        </w:tc>
        <w:tc>
          <w:tcPr>
            <w:tcW w:w="680" w:type="dxa"/>
            <w:vAlign w:val="bottom"/>
            <w:tcBorders>
              <w:bottom w:val="single" w:sz="8" w:color="auto"/>
            </w:tcBorders>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202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2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73"/>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quarter</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r>
      <w:tr>
        <w:trPr>
          <w:trHeight w:val="178"/>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Second quarter</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r>
      <w:tr>
        <w:trPr>
          <w:trHeight w:val="18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Third quarter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r>
    </w:tbl>
    <w:p>
      <w:pPr>
        <w:spacing w:after="0" w:line="32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dividend declared in the third quarter (not yet paid) is classified in the Condensed Consolidated Balance Sheet in other current liabilities as of September 27, 2026, and was subsequently paid on October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6 Restructuring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each reporting date, we evaluate our restructuring liabilities, which consist primarily of termination benefits, to ensure that our accruals are still appropriate.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restructuring liabilities in 2026:</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As of January 1,</w:t>
            </w:r>
          </w:p>
        </w:tc>
        <w:tc>
          <w:tcPr>
            <w:tcW w:w="11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12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Utilized</w:t>
            </w:r>
          </w:p>
        </w:tc>
        <w:tc>
          <w:tcPr>
            <w:tcW w:w="11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Released</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As of September</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changes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27, 2026</w:t>
            </w:r>
          </w:p>
        </w:tc>
        <w:tc>
          <w:tcPr>
            <w:tcW w:w="0" w:type="dxa"/>
            <w:vAlign w:val="bottom"/>
          </w:tcPr>
          <w:p>
            <w:pPr>
              <w:spacing w:after="0"/>
              <w:rPr>
                <w:sz w:val="1"/>
                <w:szCs w:val="1"/>
                <w:color w:val="auto"/>
              </w:rPr>
            </w:pPr>
          </w:p>
        </w:tc>
      </w:tr>
      <w:tr>
        <w:trPr>
          <w:trHeight w:val="172"/>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Restructuring liabilities</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4"/>
          <w:szCs w:val="14"/>
          <w:color w:val="auto"/>
        </w:rPr>
        <w:t>The total restructuring liability as of September 27, 2026, of $148 million is classified in the Consolidated Balance Sheet under current liabilities ($83 million) and non-current liabilities ($65 million).</w:t>
      </w:r>
    </w:p>
    <w:p>
      <w:pPr>
        <w:spacing w:after="0" w:line="156" w:lineRule="exact"/>
        <w:rPr>
          <w:sz w:val="20"/>
          <w:szCs w:val="20"/>
          <w:color w:val="auto"/>
        </w:rPr>
      </w:pPr>
    </w:p>
    <w:p>
      <w:pPr>
        <w:ind w:right="60"/>
        <w:spacing w:after="0" w:line="174" w:lineRule="exact"/>
        <w:rPr>
          <w:sz w:val="20"/>
          <w:szCs w:val="20"/>
          <w:color w:val="auto"/>
        </w:rPr>
      </w:pPr>
      <w:r>
        <w:rPr>
          <w:rFonts w:ascii="Times New Roman" w:cs="Times New Roman" w:eastAsia="Times New Roman" w:hAnsi="Times New Roman"/>
          <w:sz w:val="14"/>
          <w:szCs w:val="14"/>
          <w:color w:val="auto"/>
        </w:rPr>
        <w:t>The Company has ongoing restructuring initiatives aimed at streamlining manufacturing capacity, reducing costs, and aligning resources with strategic priorities. These initiatives primarily consist of workforce reductions, facility consolidations, and other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saving measures. During the first nine months ended September 27, 2026, the restructuring provision decreased by $122 million, primarily reflecting the execution of previously announced involuntary restructuring programs of $109 million and a release for earlier programs of $18 million. The restructuring charges for the nine-month period ending September 28, 2025, primarily consist of $89 million for personnel related costs for specific targeted actions, offset by a $5 million release for an earlier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restructuring charges recorded in operating income, for the periods indicated, are included in the following line items in the Statement of Operations: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58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3"/>
                <w:szCs w:val="13"/>
                <w:b w:val="1"/>
                <w:bCs w:val="1"/>
                <w:color w:val="43435D"/>
              </w:rPr>
              <w:t>For the three months ended</w:t>
            </w:r>
          </w:p>
        </w:tc>
        <w:tc>
          <w:tcPr>
            <w:tcW w:w="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1"/>
        </w:trPr>
        <w:tc>
          <w:tcPr>
            <w:tcW w:w="490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b w:val="1"/>
                <w:bCs w:val="1"/>
                <w:color w:val="auto"/>
                <w:w w:val="97"/>
              </w:rPr>
              <w:t>September 27, 2026</w:t>
            </w:r>
          </w:p>
        </w:tc>
        <w:tc>
          <w:tcPr>
            <w:tcW w:w="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740" w:type="dxa"/>
            <w:vAlign w:val="bottom"/>
            <w:shd w:val="clear" w:color="auto" w:fill="CCEEFF"/>
          </w:tcPr>
          <w:p>
            <w:pPr>
              <w:jc w:val="center"/>
              <w:ind w:left="147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78"/>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740" w:type="dxa"/>
            <w:vAlign w:val="bottom"/>
          </w:tcPr>
          <w:p>
            <w:pPr>
              <w:jc w:val="center"/>
              <w:ind w:left="1496"/>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8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740" w:type="dxa"/>
            <w:vAlign w:val="bottom"/>
            <w:tcBorders>
              <w:bottom w:val="single" w:sz="8" w:color="auto"/>
            </w:tcBorders>
            <w:shd w:val="clear" w:color="auto" w:fill="CCEEFF"/>
          </w:tcPr>
          <w:p>
            <w:pPr>
              <w:jc w:val="center"/>
              <w:ind w:left="1496"/>
              <w:spacing w:after="0"/>
              <w:rPr>
                <w:sz w:val="20"/>
                <w:szCs w:val="20"/>
                <w:color w:val="auto"/>
              </w:rPr>
            </w:pPr>
            <w:r>
              <w:rPr>
                <w:rFonts w:ascii="Times New Roman" w:cs="Times New Roman" w:eastAsia="Times New Roman" w:hAnsi="Times New Roman"/>
                <w:sz w:val="13"/>
                <w:szCs w:val="13"/>
                <w:color w:val="auto"/>
                <w:w w:val="91"/>
              </w:rPr>
              <w:t>1</w:t>
            </w:r>
          </w:p>
        </w:tc>
        <w:tc>
          <w:tcPr>
            <w:tcW w:w="8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1"/>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Net restructuring charges</w:t>
            </w:r>
          </w:p>
        </w:tc>
        <w:tc>
          <w:tcPr>
            <w:tcW w:w="1740" w:type="dxa"/>
            <w:vAlign w:val="bottom"/>
            <w:tcBorders>
              <w:bottom w:val="single" w:sz="8" w:color="auto"/>
            </w:tcBorders>
          </w:tcPr>
          <w:p>
            <w:pPr>
              <w:jc w:val="center"/>
              <w:ind w:left="147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0"/>
        </w:trPr>
        <w:tc>
          <w:tcPr>
            <w:tcW w:w="49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Income Tax</w:t>
      </w:r>
    </w:p>
    <w:p>
      <w:pPr>
        <w:spacing w:after="0" w:line="20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Our provision for income taxes for 2026 is based on our EAETR of 19.7%, which is lower than the Netherlands statutory tax rate of 25.8%, primarily due to tax benefits from the Netherlands and foreign tax incentives.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6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1"/>
        </w:trPr>
        <w:tc>
          <w:tcPr>
            <w:tcW w:w="4660" w:type="dxa"/>
            <w:vAlign w:val="bottom"/>
          </w:tcPr>
          <w:p>
            <w:pPr>
              <w:spacing w:after="0"/>
              <w:rPr>
                <w:sz w:val="14"/>
                <w:szCs w:val="14"/>
                <w:color w:val="auto"/>
              </w:rPr>
            </w:pPr>
          </w:p>
        </w:tc>
        <w:tc>
          <w:tcPr>
            <w:tcW w:w="2600" w:type="dxa"/>
            <w:vAlign w:val="bottom"/>
            <w:gridSpan w:val="3"/>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benefit (provision) calculated at EAETR</w:t>
            </w:r>
          </w:p>
        </w:tc>
        <w:tc>
          <w:tcPr>
            <w:tcW w:w="180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(691)</w:t>
            </w:r>
          </w:p>
        </w:tc>
        <w:tc>
          <w:tcPr>
            <w:tcW w:w="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(380)</w:t>
            </w:r>
          </w:p>
        </w:tc>
      </w:tr>
      <w:tr>
        <w:trPr>
          <w:trHeight w:val="178"/>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Discrete tax benefit (provision) items</w:t>
            </w:r>
          </w:p>
        </w:tc>
        <w:tc>
          <w:tcPr>
            <w:tcW w:w="18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w:t>
            </w:r>
          </w:p>
        </w:tc>
      </w:tr>
      <w:tr>
        <w:trPr>
          <w:trHeight w:val="18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(provision) for income taxes</w:t>
            </w:r>
          </w:p>
        </w:tc>
        <w:tc>
          <w:tcPr>
            <w:tcW w:w="18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(689)</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(394)</w:t>
            </w:r>
          </w:p>
        </w:tc>
      </w:tr>
      <w:tr>
        <w:trPr>
          <w:trHeight w:val="74"/>
        </w:trPr>
        <w:tc>
          <w:tcPr>
            <w:tcW w:w="46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18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Effective tax rate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20.2 %</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18.6 %</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19.6 %</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19.4 %</w:t>
            </w: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The effective tax rate of 20.2% for the third quarter of 2026 was higher than the EAETR due to income tax expense for discrete items of $6 million. The discrete items are primarily related to changes in estimates for previous years.</w:t>
      </w:r>
    </w:p>
    <w:p>
      <w:pPr>
        <w:spacing w:after="0" w:line="135"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4"/>
          <w:szCs w:val="14"/>
          <w:color w:val="auto"/>
        </w:rPr>
        <w:t>For the first nine months ended September 27, 2026, the effective tax rate of 19.6% was lower than 19.7% due to the income tax benefit for discrete items of $2 million. The discrete items are primarily related to the impact of foreign currency on income tax related items and changes in estimates for previous years.</w:t>
      </w:r>
    </w:p>
    <w:p>
      <w:pPr>
        <w:spacing w:after="0" w:line="14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4"/>
          <w:szCs w:val="14"/>
          <w:color w:val="auto"/>
        </w:rPr>
        <w:t>The effective tax rate for the first nine months of 2026 was 19.6% compared to 19.4% for the same period in 2025, with discrete items in the respective periods impacting the rates accordingly. Excluding discrete items, the EAETR increased to 19.7% in 2026 from 18.7% in 2025, mainly as a result of a taxable capital gain and non-deductible goodwill associated with the divestiture of the MEMS Sensors business in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8 Identified Intangible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Identified intangible assets as of September 27, 2026, and December 31, 2025, respectively, were composed of the following:</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19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w w:val="99"/>
              </w:rPr>
              <w:t>September 27, 2026</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780" w:type="dxa"/>
            <w:vAlign w:val="bottom"/>
          </w:tcPr>
          <w:p>
            <w:pPr>
              <w:spacing w:after="0"/>
              <w:rPr>
                <w:sz w:val="11"/>
                <w:szCs w:val="11"/>
                <w:color w:val="auto"/>
              </w:rPr>
            </w:pPr>
          </w:p>
        </w:tc>
        <w:tc>
          <w:tcPr>
            <w:tcW w:w="1920" w:type="dxa"/>
            <w:vAlign w:val="bottom"/>
            <w:gridSpan w:val="3"/>
          </w:tcPr>
          <w:p>
            <w:pPr>
              <w:jc w:val="right"/>
              <w:ind w:right="640"/>
              <w:spacing w:after="0" w:line="131" w:lineRule="exact"/>
              <w:rPr>
                <w:sz w:val="20"/>
                <w:szCs w:val="20"/>
                <w:color w:val="auto"/>
              </w:rPr>
            </w:pPr>
            <w:r>
              <w:rPr>
                <w:rFonts w:ascii="Times New Roman" w:cs="Times New Roman" w:eastAsia="Times New Roman" w:hAnsi="Times New Roman"/>
                <w:sz w:val="13"/>
                <w:szCs w:val="13"/>
                <w:b w:val="1"/>
                <w:bCs w:val="1"/>
                <w:color w:val="auto"/>
              </w:rPr>
              <w:t>Gross</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90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27"/>
        </w:trPr>
        <w:tc>
          <w:tcPr>
            <w:tcW w:w="5780" w:type="dxa"/>
            <w:vAlign w:val="bottom"/>
          </w:tcPr>
          <w:p>
            <w:pPr>
              <w:spacing w:after="0"/>
              <w:rPr>
                <w:sz w:val="11"/>
                <w:szCs w:val="11"/>
                <w:color w:val="auto"/>
              </w:rPr>
            </w:pPr>
          </w:p>
        </w:tc>
        <w:tc>
          <w:tcPr>
            <w:tcW w:w="1920" w:type="dxa"/>
            <w:vAlign w:val="bottom"/>
            <w:gridSpan w:val="3"/>
          </w:tcPr>
          <w:p>
            <w:pPr>
              <w:jc w:val="right"/>
              <w:ind w:right="640"/>
              <w:spacing w:after="0" w:line="12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60" w:type="dxa"/>
            <w:vAlign w:val="bottom"/>
            <w:gridSpan w:val="2"/>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0" w:type="dxa"/>
            <w:vAlign w:val="bottom"/>
          </w:tcPr>
          <w:p>
            <w:pPr>
              <w:spacing w:after="0"/>
              <w:rPr>
                <w:sz w:val="1"/>
                <w:szCs w:val="1"/>
                <w:color w:val="auto"/>
              </w:rPr>
            </w:pPr>
          </w:p>
        </w:tc>
      </w:tr>
      <w:tr>
        <w:trPr>
          <w:trHeight w:val="172"/>
        </w:trPr>
        <w:tc>
          <w:tcPr>
            <w:tcW w:w="57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 xml:space="preserve">In-process R&amp;D (IPR&amp;D) </w:t>
            </w:r>
            <w:r>
              <w:rPr>
                <w:rFonts w:ascii="Times New Roman" w:cs="Times New Roman" w:eastAsia="Times New Roman" w:hAnsi="Times New Roman"/>
                <w:sz w:val="16"/>
                <w:szCs w:val="16"/>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Customer-related</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0" w:type="dxa"/>
            <w:vAlign w:val="bottom"/>
          </w:tcPr>
          <w:p>
            <w:pPr>
              <w:spacing w:after="0"/>
              <w:rPr>
                <w:sz w:val="1"/>
                <w:szCs w:val="1"/>
                <w:color w:val="auto"/>
              </w:rPr>
            </w:pPr>
          </w:p>
        </w:tc>
      </w:tr>
      <w:tr>
        <w:trPr>
          <w:trHeight w:val="18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Technology-based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67"/>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Identified intangible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2,232</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0" w:type="dxa"/>
            <w:vAlign w:val="bottom"/>
          </w:tcPr>
          <w:p>
            <w:pPr>
              <w:spacing w:after="0"/>
              <w:rPr>
                <w:sz w:val="1"/>
                <w:szCs w:val="1"/>
                <w:color w:val="auto"/>
              </w:rPr>
            </w:pPr>
          </w:p>
        </w:tc>
      </w:tr>
    </w:tbl>
    <w:p>
      <w:pPr>
        <w:ind w:left="140" w:hanging="110"/>
        <w:spacing w:after="0" w:line="221" w:lineRule="auto"/>
        <w:tabs>
          <w:tab w:leader="none" w:pos="14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IPR&amp;D is not subject to amortization until completion or abandonment of the associated research and development effort.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amortization expense for these identified intangible assets for each of the five succeeding years is: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 (remaining)</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8"/>
        </w:trPr>
        <w:tc>
          <w:tcPr>
            <w:tcW w:w="5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5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r>
      <w:tr>
        <w:trPr>
          <w:trHeight w:val="18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78"/>
        </w:trPr>
        <w:tc>
          <w:tcPr>
            <w:tcW w:w="5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5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8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76"/>
        </w:trPr>
        <w:tc>
          <w:tcPr>
            <w:tcW w:w="5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5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intangible assets, excluding IPR&amp;D and goodwill, are subject to amortization and have no assumed residual value.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expected weighted average remaining life of identified intangibles is 7 years as of September 27, 2026 (December 31, 2025: 7 years)</w:t>
      </w:r>
      <w:r>
        <w:rPr>
          <w:rFonts w:ascii="Times New Roman" w:cs="Times New Roman" w:eastAsia="Times New Roman" w:hAnsi="Times New Roman"/>
          <w:sz w:val="12"/>
          <w:szCs w:val="12"/>
          <w:color w:val="auto"/>
        </w:rPr>
        <w: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Commercial Paper</w:t>
      </w:r>
    </w:p>
    <w:p>
      <w:pPr>
        <w:spacing w:after="0" w:line="2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4"/>
          <w:szCs w:val="14"/>
          <w:color w:val="auto"/>
        </w:rPr>
        <w:t>We have a $2 billion Commercial Paper Program to support general corporate purposes. As of September 27, 2026, we had no commercial paper notes outstanding (December 31, 2025: no notes outstanding).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issuance and redemption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20, 2026, we repaid the $750 million aggregate principal amount of outstanding 3.875% senior unsecured notes due June 18, 2026, at par using available cash.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EIB facilities</w:t>
      </w:r>
    </w:p>
    <w:p>
      <w:pPr>
        <w:spacing w:after="0" w:line="1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4"/>
          <w:szCs w:val="14"/>
          <w:color w:val="auto"/>
        </w:rPr>
        <w:t>On September 1, 2026, NXP B.V. entered into a facility agreement with the European Investment Bank, which provides for a $250 million unsecured senior loan facility (2026 EIB Facility A). Borrowings on the 2026 EIB Facility A may be denominated in Euro or U.S. Dollar and may bear interest at fixed or floating rates. The proceeds from borrowings are expected to be used to finance the design and implementation of an expansion of our semiconductor assembly and test facility in Kuala Lumpur, Malaysia. The 2026 EIB Facility A was undrawn as of September 27, 2026 and is subject to a commitment fee of 0.10% per annum on the available facility beginning six months after the agreement date.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Long-term debt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outstanding debt as of September 27, 2026, and December 31, 2025:</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Maturities</w:t>
            </w:r>
          </w:p>
        </w:tc>
        <w:tc>
          <w:tcPr>
            <w:tcW w:w="100" w:type="dxa"/>
            <w:vAlign w:val="bottom"/>
            <w:vMerge w:val="restart"/>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78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420" w:type="dxa"/>
            <w:vAlign w:val="bottom"/>
            <w:vMerge w:val="restart"/>
          </w:tcPr>
          <w:p>
            <w:pPr>
              <w:ind w:left="9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vMerge w:val="restart"/>
          </w:tcPr>
          <w:p>
            <w:pPr>
              <w:spacing w:after="0"/>
              <w:rPr>
                <w:sz w:val="11"/>
                <w:szCs w:val="11"/>
                <w:color w:val="auto"/>
              </w:rPr>
            </w:pPr>
          </w:p>
        </w:tc>
        <w:tc>
          <w:tcPr>
            <w:tcW w:w="760" w:type="dxa"/>
            <w:vAlign w:val="bottom"/>
            <w:vMerge w:val="restart"/>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69"/>
        </w:trPr>
        <w:tc>
          <w:tcPr>
            <w:tcW w:w="37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rate</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rate</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5.35% senior unsecured notes</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Mar, 2026</w:t>
            </w:r>
          </w:p>
        </w:tc>
        <w:tc>
          <w:tcPr>
            <w:tcW w:w="226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5.350</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Fixed-rate 3.875% senior unsecured notes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Jun, 2026</w:t>
            </w:r>
          </w:p>
        </w:tc>
        <w:tc>
          <w:tcPr>
            <w:tcW w:w="2260" w:type="dxa"/>
            <w:vAlign w:val="bottom"/>
            <w:gridSpan w:val="3"/>
          </w:tcPr>
          <w:p>
            <w:pPr>
              <w:jc w:val="right"/>
              <w:ind w:right="9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3.875</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3.875</w:t>
            </w: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3.15% senior unsecured notes</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May, 2027</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Fixed-rate 4.40% senior unsecured notes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Jun, 2027</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4.30% senior unsecured notes</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Aug, 2028</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Fixed-rate 5.55% senior unsecured notes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Dec, 2028</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5.550</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5.550</w:t>
            </w: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4.3% senior unsecured notes</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Jun, 2029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Fixed-rate 3.4% senior unsecured notes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May, 2030</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3.400</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3.400</w:t>
            </w: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2.5% senior unsecured notes</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May, 2031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Fixed-rate 2.65% senior unsecured notes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Feb, 2032</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w:t>
            </w: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4.85% senior unsecured notes</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Aug, 2032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4.850</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Fixed-rate 5.0% senior unsecured notes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Jan, 2033</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5.25% senior unsecured notes</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Aug, 2035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5.250</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Fixed-rate 3.25% senior unsecured notes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May, 2041</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3.125% senior unsecured notes</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Feb, 2042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3.125</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3.125</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Fixed-rate 3.25% senior unsecured notes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Nov, 2051</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4.45% EIB Facility A Loan</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Dec, 2030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4.450</w:t>
            </w:r>
          </w:p>
        </w:tc>
        <w:tc>
          <w:tcPr>
            <w:tcW w:w="0" w:type="dxa"/>
            <w:vAlign w:val="bottom"/>
          </w:tcPr>
          <w:p>
            <w:pPr>
              <w:spacing w:after="0"/>
              <w:rPr>
                <w:sz w:val="1"/>
                <w:szCs w:val="1"/>
                <w:color w:val="auto"/>
              </w:rPr>
            </w:pPr>
          </w:p>
        </w:tc>
      </w:tr>
      <w:tr>
        <w:trPr>
          <w:trHeight w:val="178"/>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Fixed-rate 4.709% EIB Facility B Loan</w:t>
            </w:r>
          </w:p>
        </w:tc>
        <w:tc>
          <w:tcPr>
            <w:tcW w:w="15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Feb, 2031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4.709</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4.709</w:t>
            </w:r>
          </w:p>
        </w:tc>
        <w:tc>
          <w:tcPr>
            <w:tcW w:w="0" w:type="dxa"/>
            <w:vAlign w:val="bottom"/>
          </w:tcPr>
          <w:p>
            <w:pPr>
              <w:spacing w:after="0"/>
              <w:rPr>
                <w:sz w:val="1"/>
                <w:szCs w:val="1"/>
                <w:color w:val="auto"/>
              </w:rPr>
            </w:pPr>
          </w:p>
        </w:tc>
      </w:tr>
      <w:tr>
        <w:trPr>
          <w:trHeight w:val="17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principal</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Unamortized discounts, premiums and debt</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issuance costs</w:t>
            </w: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7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Total debt, including unamortized discounts,</w:t>
            </w: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74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premiums, debt issuance costs and fair value</w:t>
            </w: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12,222</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adjustments</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9,979</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10,972</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Related-Party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related parties are the members of the board of directors of NXP Semiconductors N.V., the executive officers of NXP Semiconductors N.V. and equity-accounted investees.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amounts related to revenue and other income and purchase of goods and services incurred in transactions with these related parties: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36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1"/>
        </w:trPr>
        <w:tc>
          <w:tcPr>
            <w:tcW w:w="484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w w:val="97"/>
              </w:rPr>
              <w:t>September 27, 2026</w:t>
            </w:r>
          </w:p>
        </w:tc>
        <w:tc>
          <w:tcPr>
            <w:tcW w:w="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and other income</w:t>
            </w:r>
          </w:p>
        </w:tc>
        <w:tc>
          <w:tcPr>
            <w:tcW w:w="184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3"/>
                <w:szCs w:val="13"/>
                <w:color w:val="auto"/>
              </w:rPr>
              <w:t>—</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6"/>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goods and services</w:t>
            </w:r>
          </w:p>
        </w:tc>
        <w:tc>
          <w:tcPr>
            <w:tcW w:w="1840" w:type="dxa"/>
            <w:vAlign w:val="bottom"/>
            <w:gridSpan w:val="2"/>
          </w:tcPr>
          <w:p>
            <w:pPr>
              <w:ind w:left="158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amounts related to receivable and payable balances with these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4867275</wp:posOffset>
            </wp:positionH>
            <wp:positionV relativeFrom="paragraph">
              <wp:posOffset>28575</wp:posOffset>
            </wp:positionV>
            <wp:extent cx="22771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620" w:type="dxa"/>
            <w:vAlign w:val="bottom"/>
          </w:tcPr>
          <w:p>
            <w:pPr>
              <w:spacing w:after="0"/>
              <w:rPr>
                <w:sz w:val="14"/>
                <w:szCs w:val="14"/>
                <w:color w:val="auto"/>
              </w:rPr>
            </w:pPr>
          </w:p>
        </w:tc>
        <w:tc>
          <w:tcPr>
            <w:tcW w:w="184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7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Receivables</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3" w:name="page24"/>
    <w:bookmarkEnd w:id="23"/>
    <w:p>
      <w:pPr>
        <w:ind w:right="80"/>
        <w:spacing w:after="0" w:line="271" w:lineRule="auto"/>
        <w:rPr>
          <w:sz w:val="20"/>
          <w:szCs w:val="20"/>
          <w:color w:val="auto"/>
        </w:rPr>
      </w:pPr>
      <w:r>
        <w:rPr>
          <w:rFonts w:ascii="Times New Roman" w:cs="Times New Roman" w:eastAsia="Times New Roman" w:hAnsi="Times New Roman"/>
          <w:sz w:val="14"/>
          <w:szCs w:val="14"/>
          <w:color w:val="auto"/>
        </w:rPr>
        <w:t>Driven by our investment in VSMC, NXP has committed to contribute $1,200 million to support the long-term capacity infrastructure, and in exchange NXP secures a capacity commitment over the lifetime of the factory. NXP has contributed $345 million during the nine months ended September 27, 2026, and $1,200 million to-date, which is recorded in other non-current assets.</w:t>
      </w:r>
    </w:p>
    <w:p>
      <w:pPr>
        <w:spacing w:after="0" w:line="15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Refer to Note 5 – Supplemental Financial Information for information on the total carrying value of investments in equity-accounted investees, and to Note 12 – Commitments and Contingencies for NXP’s related party commitments.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estimated fair value of our financial instruments which are measured at fair value on a recurring basis:</w:t>
      </w:r>
    </w:p>
    <w:p>
      <w:pPr>
        <w:spacing w:after="0" w:line="6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3"/>
                <w:szCs w:val="13"/>
                <w:b w:val="1"/>
                <w:bCs w:val="1"/>
                <w:color w:val="auto"/>
              </w:rPr>
              <w:t>Estimated fair value</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152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24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hierarchy</w:t>
            </w:r>
          </w:p>
        </w:tc>
        <w:tc>
          <w:tcPr>
            <w:tcW w:w="2440" w:type="dxa"/>
            <w:vAlign w:val="bottom"/>
            <w:gridSpan w:val="3"/>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640" w:type="dxa"/>
            <w:vAlign w:val="bottom"/>
          </w:tcPr>
          <w:p>
            <w:pPr>
              <w:spacing w:after="0"/>
              <w:rPr>
                <w:sz w:val="20"/>
                <w:szCs w:val="20"/>
                <w:color w:val="auto"/>
              </w:rPr>
            </w:pPr>
            <w:r>
              <w:rPr>
                <w:rFonts w:ascii="Times New Roman" w:cs="Times New Roman" w:eastAsia="Times New Roman" w:hAnsi="Times New Roman"/>
                <w:sz w:val="13"/>
                <w:szCs w:val="13"/>
                <w:color w:val="auto"/>
              </w:rPr>
              <w:t>Money market funds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0" w:type="dxa"/>
            <w:vAlign w:val="bottom"/>
          </w:tcPr>
          <w:p>
            <w:pPr>
              <w:spacing w:after="0"/>
              <w:rPr>
                <w:sz w:val="1"/>
                <w:szCs w:val="1"/>
                <w:color w:val="auto"/>
              </w:rPr>
            </w:pPr>
          </w:p>
        </w:tc>
      </w:tr>
      <w:tr>
        <w:trPr>
          <w:trHeight w:val="18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Marketable equity securities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8"/>
        </w:trPr>
        <w:tc>
          <w:tcPr>
            <w:tcW w:w="5640" w:type="dxa"/>
            <w:vAlign w:val="bottom"/>
          </w:tcPr>
          <w:p>
            <w:pPr>
              <w:spacing w:after="0"/>
              <w:rPr>
                <w:sz w:val="20"/>
                <w:szCs w:val="20"/>
                <w:color w:val="auto"/>
              </w:rPr>
            </w:pPr>
            <w:r>
              <w:rPr>
                <w:rFonts w:ascii="Times New Roman" w:cs="Times New Roman" w:eastAsia="Times New Roman" w:hAnsi="Times New Roman"/>
                <w:sz w:val="13"/>
                <w:szCs w:val="13"/>
                <w:color w:val="auto"/>
              </w:rPr>
              <w:t>Derivative instruments-assets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Earn-out receivable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2"/>
        </w:trPr>
        <w:tc>
          <w:tcPr>
            <w:tcW w:w="5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rPr>
                <w:sz w:val="20"/>
                <w:szCs w:val="20"/>
                <w:color w:val="auto"/>
              </w:rPr>
            </w:pPr>
            <w:r>
              <w:rPr>
                <w:rFonts w:ascii="Times New Roman" w:cs="Times New Roman" w:eastAsia="Times New Roman" w:hAnsi="Times New Roman"/>
                <w:sz w:val="13"/>
                <w:szCs w:val="13"/>
                <w:color w:val="auto"/>
              </w:rPr>
              <w:t>Derivative instruments-liabilities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methods and assumptions were used to estimate the fair value of financial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 measured at fair value on a recurring basis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Money market funds (as part of our cash and cash equivalents) and marketable equity securities (as part of other non-current assets) have fair value measurements which are all based on quoted prices in active markets for identical assets or liabilities. For derivatives (as part of other current assets or accrued liabilities) the fair value is based upon significant other observable inputs depending on the nature of the derivative. The earn-out receivable is related to our previously divested MEMS sensor business and is measured at fair value using Level 3 inputs.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 recorded at fair value on a non-recurring basis</w:t>
      </w:r>
    </w:p>
    <w:p>
      <w:pPr>
        <w:spacing w:after="0" w:line="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4"/>
          <w:szCs w:val="14"/>
          <w:color w:val="auto"/>
        </w:rPr>
        <w:t>We measure and record our non-marketable equity securities, equity method investments and non-financial assets, such as intangible assets and property, plant and equipment, at fair value when an impairment charge is required.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 not recorded at fair value on a recurring basis</w:t>
      </w:r>
    </w:p>
    <w:p>
      <w:pPr>
        <w:spacing w:after="0" w:line="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Financial instruments not recorded at fair value on a recurring basis include non-marketable equity securities and equity method investments that have not been remeasured or impaired in the current period and debt.</w:t>
      </w:r>
    </w:p>
    <w:p>
      <w:pPr>
        <w:spacing w:after="0" w:line="14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As of September 27, 2026, the estimated fair value of current and non-current debt was $9.8 billion ($11.6 billion as of December 31, 2025). The fair value is estimated on the basis of broker-dealer quotes and other observable inputs, which are Level 2 inputs. Accrued interest is included under accrued liabilities and not within the carrying amount or estimated fair value of debt.</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Commitments</w:t>
      </w:r>
    </w:p>
    <w:p>
      <w:pPr>
        <w:spacing w:after="0" w:line="2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The Company maintains purchase commitments with certain suppliers, primarily for raw materials, semi-finished goods and manufacturing services and for some non-production items. Purchase commitments for inventory materials are generally restricted to a forecasted time-horizon as mutually agreed upon between the parties. This forecasted time horizon can vary for different suppliers. As of September 27, 2026, other than foundry joint venture commitments, the Company had purchase commitments of $2,936 million, which are due through 2044.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Foundry Joint Venture Commitments</w:t>
      </w:r>
    </w:p>
    <w:p>
      <w:pPr>
        <w:spacing w:after="0" w:line="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Driven by our investment in VSMC, NXP has committed to invest an additional $565 million in equity through 2027. In addition, NXP has an agreed purchase commitment with VSMC that over the lifetime of the factory the minimal loading will be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between 80% - 90%, resulting in a total purchase commitment of approximately $14,096 million that is expected to be purchased over 37 years once wafer production starts.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to our investment in ESMC, NXP has committed to invest an additional $351 million in equity through 2029.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Commitments</w:t>
      </w:r>
    </w:p>
    <w:p>
      <w:pPr>
        <w:spacing w:after="0" w:line="25"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The Company has operating and finance lease arrangements related to buildings (corporate offices, research and development and manufacturing facilities and datacenters), land, machinery and installations and other equipment (vehicles and certain office equipment). As of September 27, 2026, amounts related to future lease payments for operating lease obligations totaled $700 million (December 31, 2025: $519 million), which are due through 2048. The increase from December 31, 2025 is primarily attributable to the execution of new relocation lease agreements during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We are regularly involved as plaintiffs or defendants in claims and litigation relating to a variety of matters such as contractual disputes, personal injury claims, employee grievances and intellectual property litigation. In addition, our acquisitions, divestments and financial transactions sometimes result in, or are followed by, claims or litigation. Some of these claims may possibly be recovered from insurance reimbursements. Although the ultimate disposition of asserted claims cannot be predicted with certainty, it is our belief that the outcome of any such claims, either individually or on a combined basis, will not have a material adverse effect on our consolidated financial position. However, such outcomes may be material to our condensed consolidated statement of operations for a particular period. The Company records an accrual for any claim that arises whenever it considers that it is probable that it is exposed to a loss contingency, and the amount of the loss contingency can be reasonably estimated. The Company does not record a gain contingency until the period in which all contingencies are resolved, and the gain is realized or realizable. Legal fees are expensed when 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Motorola Personal Injury Lawsuits</w:t>
      </w:r>
    </w:p>
    <w:p>
      <w:pPr>
        <w:spacing w:after="0" w:line="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Company has assisted Motorola in the defense of personal injury lawsuits pursuant to indemnity obligations under the agreement that separated Freescale from Motorola in 2004. All pending cases were settled as of the end of the first quarter and subsequently paid in the second quarter of 2026. As a result, there are no remaining pending lawsuits related to these matters. Accordingly, the Company does not anticipate any further financial impact arising from these claims now that they have been settled.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 Related Accruals and Insurance Coverage</w:t>
      </w:r>
    </w:p>
    <w:p>
      <w:pPr>
        <w:spacing w:after="0" w:line="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The Company reevaluates at least on a quarterly basis, claims that have arisen to determine whether accruals need to be established, adjusted or released based on the most current information available to it and based on its best estimate of potential loss. As of September 27, 2026, the Company had accrued $1 million for potential and current legal proceedings, compared to $75 million as of December 31, 2025 (without reduction for any related insurance reimbursements), reflecting the resolution of previously accrued matters. The related insurance reimbursement receivable, which was $56 million as of December 31, 2025, and included in "Other current assets" was collected during the nine months ended September 27, 2026, with no balance remaining at period end.</w:t>
      </w:r>
    </w:p>
    <w:p>
      <w:pPr>
        <w:spacing w:after="0" w:line="16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also estimates the aggregate range of reasonably possible losses in excess of the amount accrued based on currently available information for those cases for which such estimate can be made. Given that the known pending legal proceedings with a potentially material aggregate exposure of possible losses were paid during the previous quarter, the Company does not reasonably anticipate any additional potential aggregate exposure of possible loss in excess of the amount accrued.</w:t>
      </w:r>
    </w:p>
    <w:p>
      <w:pPr>
        <w:spacing w:after="0" w:line="34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200"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4"/>
          <w:szCs w:val="14"/>
          <w:i w:val="1"/>
          <w:iCs w:val="1"/>
          <w:color w:val="auto"/>
        </w:rPr>
        <w:t>Management’s Discussion and Analysis (MD&amp;A) should be read in conjunction with our Consolidated Financial Statements and Notes and the MD&amp;A in our Annual Report on Form 10-K for the year ended December 31, 2025, and the Financial Statements and the related Notes that appear elsewhere in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Quarterly Financial Highlights</w:t>
      </w:r>
    </w:p>
    <w:p>
      <w:pPr>
        <w:spacing w:after="0" w:line="96"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was $3,786 million, up 19.3% year-on-year;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gross margin was 57.8%, and GAAP operating margin was 32.4%;</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gross margin was 58.6%, and non-GAAP operating margin was 37.1%;</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from operations was $1,256 million, with net capital expenditures on property, plant and equipment of $50 million, resulting in non-GAAP free cash flow of $1,206 million;</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2026, NXP returned capital to shareholders with the payment of $256 million in cash dividends and the repurchase of $103 million of its common shares, for a total capital return of $359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887" w:right="5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1487170</wp:posOffset>
            </wp:positionH>
            <wp:positionV relativeFrom="page">
              <wp:posOffset>574040</wp:posOffset>
            </wp:positionV>
            <wp:extent cx="4581525" cy="3045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81525" cy="304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Sequential Results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Q2 2026</w:t>
      </w:r>
    </w:p>
    <w:p>
      <w:pPr>
        <w:spacing w:after="0" w:line="41"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4"/>
          <w:szCs w:val="14"/>
          <w:color w:val="auto"/>
        </w:rPr>
        <w:t>Revenue for the three months ended September 27, 2026, was $3,786 million compared to $3,496 million for the three months ended June 28, 2026, an increase of $290 million or 8.3% quarter-on-quarter, slightly ahead of management's expectations. Within our end markets, the Automotive end market increased $132 million or 6.8%, the Industrial &amp; IoT end market increased $47 million or 6.2%, the Communication Infrastructure &amp; Other end market increased $51 million or 11.3%, and the Mobile end market increased $60 million or 17.1%.</w:t>
      </w:r>
    </w:p>
    <w:p>
      <w:pPr>
        <w:spacing w:after="0" w:line="15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When aggregating all end markets together and reviewing sales channel performance, revenue from distributors was $2,244 million, an increase of $172 million or 8.3% compared to the previous period. Revenue from direct customers was $1,498 million, an increase of $123 million or 8.9% versus the previous period.</w:t>
      </w:r>
    </w:p>
    <w:p>
      <w:pPr>
        <w:spacing w:after="0" w:line="14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From a geographic perspective, revenue increased quarter-on-quarter in the Americas region by 19.5%, in the Asia Pacific region by 8.3%, in the China region by 2.2%, and in the EMEA region by 0.1%.</w:t>
      </w:r>
    </w:p>
    <w:p>
      <w:pPr>
        <w:spacing w:after="0" w:line="14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Our gross profit percentage for the three months ended September 27, 2026, of 57.8% increased compared to 57.3% for the three months ended June 28, 2026, driven mainly by higher sales volumes and higher manufacturing utilization.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income for the three months ended September 27, 2026, was $1,228 million compared to $1,071 million for the three months ended June 28, 2026, an increase of $157 million or 14.7%.</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sequential increase was mainly driven by higher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440"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operating results for each of the three- and nine-month periods ended September 27, 2026, and September 28, 2025,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in millions, unless otherwise stated)</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80" w:type="dxa"/>
            <w:vAlign w:val="bottom"/>
          </w:tcPr>
          <w:p>
            <w:pPr>
              <w:spacing w:after="0"/>
              <w:rPr>
                <w:sz w:val="15"/>
                <w:szCs w:val="15"/>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 of Revenue</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100" w:type="dxa"/>
            <w:vAlign w:val="bottom"/>
          </w:tcPr>
          <w:p>
            <w:pPr>
              <w:spacing w:after="0"/>
              <w:rPr>
                <w:sz w:val="15"/>
                <w:szCs w:val="15"/>
                <w:color w:val="auto"/>
              </w:rPr>
            </w:pPr>
          </w:p>
        </w:tc>
        <w:tc>
          <w:tcPr>
            <w:tcW w:w="13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 of Revenue</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8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 of Revenue</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YTD 2025</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of Revenue</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3,786</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3,173</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10,463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8,934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nominal growth</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2,189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1,787</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5,979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4,909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margin</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57.8 %</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56.3 %</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57.1 %</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54.9 %</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(615)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16.2 %</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(575)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18.1 %</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(1,807)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17.3 %</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(1,695)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19.0 %</w:t>
            </w:r>
          </w:p>
        </w:tc>
        <w:tc>
          <w:tcPr>
            <w:tcW w:w="0" w:type="dxa"/>
            <w:vAlign w:val="bottom"/>
          </w:tcPr>
          <w:p>
            <w:pPr>
              <w:spacing w:after="0"/>
              <w:rPr>
                <w:sz w:val="1"/>
                <w:szCs w:val="1"/>
                <w:color w:val="auto"/>
              </w:rPr>
            </w:pPr>
          </w:p>
        </w:tc>
      </w:tr>
      <w:tr>
        <w:trPr>
          <w:trHeight w:val="178"/>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15"/>
                <w:szCs w:val="15"/>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5"/>
                <w:szCs w:val="15"/>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80" w:type="dxa"/>
            <w:vAlign w:val="bottom"/>
          </w:tcPr>
          <w:p>
            <w:pPr>
              <w:spacing w:after="0"/>
              <w:rPr>
                <w:sz w:val="15"/>
                <w:szCs w:val="15"/>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(845)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Amortization of acquisition-related</w:t>
            </w:r>
          </w:p>
        </w:tc>
        <w:tc>
          <w:tcPr>
            <w:tcW w:w="118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(30)</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(93)</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(83)</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0" w:type="dxa"/>
            <w:vAlign w:val="bottom"/>
          </w:tcPr>
          <w:p>
            <w:pPr>
              <w:spacing w:after="0"/>
              <w:rPr>
                <w:sz w:val="1"/>
                <w:szCs w:val="1"/>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1180" w:type="dxa"/>
            <w:vAlign w:val="bottom"/>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613</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5.9 %</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1,228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32.4 %</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28.1 %</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3,804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36.4 %</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2,303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25.8 %</w:t>
            </w:r>
          </w:p>
        </w:tc>
        <w:tc>
          <w:tcPr>
            <w:tcW w:w="0" w:type="dxa"/>
            <w:vAlign w:val="bottom"/>
          </w:tcPr>
          <w:p>
            <w:pPr>
              <w:spacing w:after="0"/>
              <w:rPr>
                <w:sz w:val="1"/>
                <w:szCs w:val="1"/>
                <w:color w:val="auto"/>
              </w:rPr>
            </w:pPr>
          </w:p>
        </w:tc>
      </w:tr>
      <w:tr>
        <w:trPr>
          <w:trHeight w:val="178"/>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Financial income (expense)</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tcPr>
          <w:p>
            <w:pPr>
              <w:spacing w:after="0"/>
              <w:rPr>
                <w:sz w:val="15"/>
                <w:szCs w:val="15"/>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tcPr>
          <w:p>
            <w:pPr>
              <w:spacing w:after="0"/>
              <w:rPr>
                <w:sz w:val="15"/>
                <w:szCs w:val="15"/>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(290)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tcPr>
          <w:p>
            <w:pPr>
              <w:spacing w:after="0"/>
              <w:rPr>
                <w:sz w:val="15"/>
                <w:szCs w:val="15"/>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(276)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(provision) for income taxes</w:t>
            </w: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(689)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(394)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0" w:type="dxa"/>
            <w:vAlign w:val="bottom"/>
          </w:tcPr>
          <w:p>
            <w:pPr>
              <w:spacing w:after="0"/>
              <w:rPr>
                <w:sz w:val="1"/>
                <w:szCs w:val="1"/>
                <w:color w:val="auto"/>
              </w:rPr>
            </w:pPr>
          </w:p>
        </w:tc>
      </w:tr>
      <w:tr>
        <w:trPr>
          <w:trHeight w:val="138"/>
        </w:trPr>
        <w:tc>
          <w:tcPr>
            <w:tcW w:w="20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Results relating to equity-accounted</w:t>
            </w:r>
          </w:p>
        </w:tc>
        <w:tc>
          <w:tcPr>
            <w:tcW w:w="118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1"/>
                <w:szCs w:val="11"/>
                <w:color w:val="auto"/>
              </w:rPr>
            </w:pPr>
          </w:p>
        </w:tc>
        <w:tc>
          <w:tcPr>
            <w:tcW w:w="11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0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1"/>
                <w:szCs w:val="11"/>
                <w:color w:val="auto"/>
              </w:rPr>
            </w:pPr>
          </w:p>
        </w:tc>
        <w:tc>
          <w:tcPr>
            <w:tcW w:w="10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(33)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68"/>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investees</w:t>
            </w:r>
          </w:p>
        </w:tc>
        <w:tc>
          <w:tcPr>
            <w:tcW w:w="118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gridSpan w:val="2"/>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23.7 %</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646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20.4 %</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2,814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26.9 %</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17.9 %</w:t>
            </w:r>
          </w:p>
        </w:tc>
        <w:tc>
          <w:tcPr>
            <w:tcW w:w="0" w:type="dxa"/>
            <w:vAlign w:val="bottom"/>
          </w:tcPr>
          <w:p>
            <w:pPr>
              <w:spacing w:after="0"/>
              <w:rPr>
                <w:sz w:val="1"/>
                <w:szCs w:val="1"/>
                <w:color w:val="auto"/>
              </w:rPr>
            </w:pPr>
          </w:p>
        </w:tc>
      </w:tr>
      <w:tr>
        <w:trPr>
          <w:trHeight w:val="138"/>
        </w:trPr>
        <w:tc>
          <w:tcPr>
            <w:tcW w:w="20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Less: Net income (loss) attributable to</w:t>
            </w: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1"/>
                <w:szCs w:val="11"/>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68"/>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18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6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18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884</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23.3 %</w:t>
            </w:r>
          </w:p>
        </w:tc>
        <w:tc>
          <w:tcPr>
            <w:tcW w:w="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631</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19.9 %</w:t>
            </w:r>
          </w:p>
        </w:tc>
        <w:tc>
          <w:tcPr>
            <w:tcW w:w="8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2,773</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26.5 %</w:t>
            </w:r>
          </w:p>
        </w:tc>
        <w:tc>
          <w:tcPr>
            <w:tcW w:w="8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1,566</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17.5 %</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w:t>
            </w: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12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10.92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6.16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Q3 2026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4446270" cy="18732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46270"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4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Revenue for the three months ended September 27, 2026, was $3,786 million compared to $3,173 million for the three months ended September 28, 2025, an increase of $613 million or 19.3%, in line with management’s expectations.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YTD 2026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4446270" cy="18732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46270"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for the nine months ended September 27, 2026, was $10,463 million compared to $8,934 million for the nine months ended September 28, 2025, an increase of $1,529 million or 17.1%.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87"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Revenue by end market was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in millions, unless otherwise stated)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YTD 2025</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10.5 %</w:t>
            </w:r>
          </w:p>
        </w:tc>
      </w:tr>
      <w:tr>
        <w:trPr>
          <w:trHeight w:val="178"/>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Industrial &amp; IoT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38.5 %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33.8 %</w:t>
            </w:r>
          </w:p>
        </w:tc>
      </w:tr>
      <w:tr>
        <w:trPr>
          <w:trHeight w:val="18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Mobile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4.9 %</w:t>
            </w:r>
          </w:p>
        </w:tc>
      </w:tr>
      <w:tr>
        <w:trPr>
          <w:trHeight w:val="178"/>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Communication Infrastructure &amp; Other</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53.8 %</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38.8 %</w:t>
            </w:r>
          </w:p>
        </w:tc>
      </w:tr>
      <w:tr>
        <w:trPr>
          <w:trHeight w:val="19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19.3 %</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10,463</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by sales channel was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in millions, unless otherwise stated)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YTD 2025</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Distributors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6,178</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22.9 %</w:t>
            </w:r>
          </w:p>
        </w:tc>
      </w:tr>
      <w:tr>
        <w:trPr>
          <w:trHeight w:val="178"/>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Direct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4,155</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9.1 %</w:t>
            </w: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15.8 %</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32.7 %</w:t>
            </w:r>
          </w:p>
        </w:tc>
      </w:tr>
      <w:tr>
        <w:trPr>
          <w:trHeight w:val="173"/>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19.3 %</w:t>
            </w: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10,463</w:t>
            </w:r>
          </w:p>
        </w:tc>
        <w:tc>
          <w:tcPr>
            <w:tcW w:w="8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17.1 %</w:t>
            </w:r>
          </w:p>
        </w:tc>
      </w:tr>
      <w:tr>
        <w:trPr>
          <w:trHeight w:val="20"/>
        </w:trPr>
        <w:tc>
          <w:tcPr>
            <w:tcW w:w="4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by geographic region, which is based on the location where the sale originated and where critical commercial decisions are made, was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in millions, unless otherwise stated)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YTD 2025</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Americas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29.9 %</w:t>
            </w:r>
          </w:p>
        </w:tc>
      </w:tr>
      <w:tr>
        <w:trPr>
          <w:trHeight w:val="191"/>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APAC, excluding China</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2,935</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11.5 %</w:t>
            </w:r>
          </w:p>
        </w:tc>
      </w:tr>
      <w:tr>
        <w:trPr>
          <w:trHeight w:val="18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EMEA (Europe, the Middle East and Africa)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r>
      <w:tr>
        <w:trPr>
          <w:trHeight w:val="180"/>
        </w:trPr>
        <w:tc>
          <w:tcPr>
            <w:tcW w:w="42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China </w:t>
            </w:r>
            <w:r>
              <w:rPr>
                <w:rFonts w:ascii="Times New Roman" w:cs="Times New Roman" w:eastAsia="Times New Roman" w:hAnsi="Times New Roman"/>
                <w:sz w:val="16"/>
                <w:szCs w:val="16"/>
                <w:color w:val="auto"/>
                <w:vertAlign w:val="superscript"/>
              </w:rPr>
              <w:t>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28.8 %</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1,753</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19.4 %</w:t>
            </w: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19.3 %</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10,463</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ind w:left="120" w:hanging="101"/>
        <w:spacing w:after="0" w:line="189" w:lineRule="auto"/>
        <w:tabs>
          <w:tab w:leader="none" w:pos="12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China includes Mainland China and Hong Kong</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4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From an end market perspective, NXP experienced growth in its Automotive, Industrial &amp; IoT, and Communication Infrastructure &amp; Other end markets, which was offset by a decline in the Mobile end market versus the year-ago quarter.</w:t>
      </w:r>
    </w:p>
    <w:p>
      <w:pPr>
        <w:spacing w:after="0" w:line="14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Revenue in the Automotive end market was $2,070 million, an increase of $233 million or 12.7% versus the year-ago quarter. The increase was predominantly due to growth in processors and mixed-signal products.</w:t>
      </w:r>
    </w:p>
    <w:p>
      <w:pPr>
        <w:spacing w:after="0" w:line="1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Revenue in the Industrial &amp; IoT end market was $802 million, an increase of $223 million or 38.5% versus the year-ago quarter. The increase was due to strong growth in processors and mixed-signal products.</w:t>
      </w:r>
    </w:p>
    <w:p>
      <w:pPr>
        <w:spacing w:after="0" w:line="15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Revenue in the Communication Infrastructure &amp; Other end market was $503 million, an increase of $176 million or 53.8% versus the year-ago quarter. The increase was predominantly due to growth in processors.</w:t>
      </w:r>
    </w:p>
    <w:p>
      <w:pPr>
        <w:spacing w:after="0" w:line="146"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Revenue in the Mobile end market was $411 million, a decrease of $19 million or 4.4% versus the year-ago quarter. The decrease was due to declines in processors, partially offset by growth in mixed-signal products.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When aggregating all end markets together and reviewing sales channel performance, revenue from distributors was $2,244 million, an increase of $378 million or 20.3% versus the year-ago quarter.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from direct customers was $1,498 million, an increase of $229 million or 18.0% versus the year-ago quarter.</w:t>
      </w:r>
    </w:p>
    <w:p>
      <w:pPr>
        <w:spacing w:after="0" w:line="173"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color w:val="auto"/>
        </w:rPr>
        <w:t>From a geographic perspective, revenue increased year-on-year in the China region by 28.8%, in the Americas region by 28.2%, in the Asia Pacific region by 13.5%, and in the EMEA region by 10.1%.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an end market perspective, NXP experienced growth across all end markets versus the year-ago period.</w:t>
      </w:r>
    </w:p>
    <w:p>
      <w:pPr>
        <w:spacing w:after="0" w:line="17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Revenue in the Automotive end market was $5,790 million, an increase of $550 million or 10.5% versus the year-ago period. The increase was predominantly due to growth in processors and mixed-signal products.</w:t>
      </w:r>
    </w:p>
    <w:p>
      <w:pPr>
        <w:spacing w:after="0" w:line="135"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Revenue in the Industrial &amp; IoT end market was $2,185 million, an increase of $552 million or 33.8% versus the year-ago period. The increase was due to strong growth in processors and mixed-signal products.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30" w:name="page31"/>
    <w:bookmarkEnd w:id="30"/>
    <w:p>
      <w:pPr>
        <w:spacing w:after="0" w:line="271" w:lineRule="auto"/>
        <w:rPr>
          <w:sz w:val="20"/>
          <w:szCs w:val="20"/>
          <w:color w:val="auto"/>
        </w:rPr>
      </w:pPr>
      <w:r>
        <w:rPr>
          <w:rFonts w:ascii="Times New Roman" w:cs="Times New Roman" w:eastAsia="Times New Roman" w:hAnsi="Times New Roman"/>
          <w:sz w:val="14"/>
          <w:szCs w:val="14"/>
          <w:color w:val="auto"/>
        </w:rPr>
        <w:t>Revenue in the Communication Infrastructure &amp; Other end market was $1,335 million, an increase of $373 million or 38.8% versus the year-ago period. The increase was due to growth in processors, partially offset by declines in mixed-signal products.</w:t>
      </w:r>
    </w:p>
    <w:p>
      <w:pPr>
        <w:spacing w:after="0" w:line="14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Revenue in the Mobile end market was $1,153 million, an increase of $54 million or 4.9% versus the year-ago period. The increase was due to growth in mixed-signal products, partially offset by declines in processors.</w:t>
      </w:r>
    </w:p>
    <w:p>
      <w:pPr>
        <w:spacing w:after="0" w:line="146"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When aggregating all end markets together, and reviewing sales channel performance, revenue from distributors was $6,178 million, an increase of $1,152 million or 22.9% versus the year-ago period. Revenue through direct customers was $4,155 million, an increase of $345 million or 9.1% versus the year-ago period.</w:t>
      </w:r>
    </w:p>
    <w:p>
      <w:pPr>
        <w:spacing w:after="0" w:line="14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4"/>
          <w:szCs w:val="14"/>
          <w:color w:val="auto"/>
        </w:rPr>
        <w:t>From a geographic perspective, revenue increased year-on-year in the Americas region by 29.9%, in the China region by 19.4%, in the Asia Pacific region by 11.5%, and in the EMEA region by 9.2%.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5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Gross profit for the three months ended September 27, 2026, was $2,189 million, or 57.8% of revenue, compared to $1,787 million, or 56.3% of revenue for the three months ended September 28, 2025. The increase in gross profit is primarily driven by higher sales volumes and utilization.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5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Gross profit for the nine months ended September 27, 2026, was $5,979 million, or 57.1% of revenue, compared to $4,909 million, or 54.9% of revenue for the nine months ended September 28, 2025. The increase in gross profit was primarily driven by higher sales volumes and improved factory utilization.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5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Operating expenses for the three months ended September 27, 2026, totaled $958 million, or 25.3% of revenue, compared to $892 million, or 28.1% of revenue for the three months ended September 28,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51"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 xml:space="preserve">Operating expenses for the </w:t>
      </w:r>
      <w:r>
        <w:rPr>
          <w:rFonts w:ascii="Times New Roman" w:cs="Times New Roman" w:eastAsia="Times New Roman" w:hAnsi="Times New Roman"/>
          <w:sz w:val="14"/>
          <w:szCs w:val="14"/>
          <w:color w:val="43435D"/>
        </w:rPr>
        <w:t>nine</w:t>
      </w:r>
      <w:r>
        <w:rPr>
          <w:rFonts w:ascii="Times New Roman" w:cs="Times New Roman" w:eastAsia="Times New Roman" w:hAnsi="Times New Roman"/>
          <w:sz w:val="14"/>
          <w:szCs w:val="14"/>
          <w:color w:val="auto"/>
        </w:rPr>
        <w:t xml:space="preserve"> months ended September 27, 2026, totaled $2,788 million, or 26.6% of revenue, compared to $2,623 million, or 29.4% of revenue for the nine months ended September 28, 2025.</w:t>
      </w:r>
    </w:p>
    <w:p>
      <w:pPr>
        <w:spacing w:after="0" w:line="218"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 unless otherwise stated)</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YTD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1,807</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1,695</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w:t>
            </w: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a percentage of revenue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16.2 %</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18.1 %</w:t>
            </w:r>
          </w:p>
        </w:tc>
        <w:tc>
          <w:tcPr>
            <w:tcW w:w="8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 ppt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19.0 %</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ppt</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R&amp;D costs for the three months ended September 27, 2026, increased by $40 million, or 7.0%, when compared to the three months ended September 28, 2025, primarily driven 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Increased variable compensation expenses due to improved company performance ($39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R&amp;D costs for the nine months ended September 27, 2026, increased by $112 million, or 6.6%, when compared to the nine months ended September 28, 2025, driven by:</w:t>
      </w:r>
    </w:p>
    <w:p>
      <w:pPr>
        <w:spacing w:after="0" w:line="9" w:lineRule="exact"/>
        <w:rPr>
          <w:sz w:val="20"/>
          <w:szCs w:val="20"/>
          <w:color w:val="auto"/>
        </w:rPr>
      </w:pPr>
    </w:p>
    <w:p>
      <w:pPr>
        <w:ind w:left="120" w:hanging="115"/>
        <w:spacing w:after="0"/>
        <w:tabs>
          <w:tab w:leader="none" w:pos="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variable compensation expenses due to improved company performance ($105 million)</w:t>
      </w:r>
    </w:p>
    <w:p>
      <w:pPr>
        <w:spacing w:after="0" w:line="8" w:lineRule="exact"/>
        <w:rPr>
          <w:rFonts w:ascii="Times New Roman" w:cs="Times New Roman" w:eastAsia="Times New Roman" w:hAnsi="Times New Roman"/>
          <w:sz w:val="14"/>
          <w:szCs w:val="14"/>
          <w:color w:val="auto"/>
        </w:rPr>
      </w:pPr>
    </w:p>
    <w:p>
      <w:pPr>
        <w:ind w:right="180" w:firstLine="5"/>
        <w:spacing w:after="0" w:line="266" w:lineRule="auto"/>
        <w:tabs>
          <w:tab w:leader="none" w:pos="1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net increase in personnel-related costs primarily associated with our completed acquisitions, partially offset by related cost-reduction initiatives and the sale of our MEMS Sensors business ($6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31" w:name="page32"/>
    <w:bookmarkEnd w:id="31"/>
    <w:p>
      <w:pPr>
        <w:ind w:left="520" w:hanging="260"/>
        <w:spacing w:after="0"/>
        <w:tabs>
          <w:tab w:leader="none" w:pos="520"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 unless otherwise stated)</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118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YTD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888</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845</w:t>
            </w: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5.1  %</w:t>
            </w:r>
          </w:p>
        </w:tc>
      </w:tr>
      <w:tr>
        <w:trPr>
          <w:trHeight w:val="176"/>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a percentage of revenue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(0.7)ppt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(1.0)ppt</w:t>
            </w: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costs for the three months ended September 27, 2026, increased by $27 million, or 9.4%, when compared to the three months ended September 28, 2025, primarily driven by: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Increased variable compensation expenses due to improved company performance ($28 million)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costs for the nine months ended September 27, 2026, increased by $43 million, or 5.1%, when compared to the nine months ended September 28, 2025, primarily driven by:</w:t>
      </w:r>
    </w:p>
    <w:p>
      <w:pPr>
        <w:spacing w:after="0" w:line="51" w:lineRule="exact"/>
        <w:rPr>
          <w:sz w:val="20"/>
          <w:szCs w:val="20"/>
          <w:color w:val="auto"/>
        </w:rPr>
      </w:pPr>
    </w:p>
    <w:p>
      <w:pPr>
        <w:ind w:right="5680" w:firstLine="5"/>
        <w:spacing w:after="0" w:line="287" w:lineRule="auto"/>
        <w:tabs>
          <w:tab w:leader="none" w:pos="11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variable compensation expenses due to improved company performance ($61 million) - Lower legal expenses due to the settlement of pending personal injury lawsuits ($26 million)</w:t>
      </w:r>
    </w:p>
    <w:p>
      <w:pPr>
        <w:spacing w:after="0" w:line="186"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b w:val="1"/>
          <w:bCs w:val="1"/>
          <w:i w:val="1"/>
          <w:iCs w:val="1"/>
          <w:color w:val="auto"/>
        </w:rPr>
        <w:t>Amortization of acquisition-related intangible assets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 unless otherwise stated)</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12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YTD 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acquisition-related intangible assets</w:t>
            </w:r>
          </w:p>
        </w:tc>
        <w:tc>
          <w:tcPr>
            <w:tcW w:w="11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a percentage of revenue</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 ppt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ppt</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5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Amortization of acquisition-related intangible assets for the three months ended September 27, 2026, decreased by $1 million, or 3.2%, when compared to the three months ended September 28,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5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Amortization of acquisition-related intangible assets for the nine months ended September 27, 2026, increased by $10 million, or 12.0%, when compared to the nine months ended September 28, 2025, primarily driven by amortization related to the acquisitions of TTTech Auto and Kinara.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4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Other income (expense) reflects an income of $613 million for the nine m</w:t>
      </w:r>
      <w:r>
        <w:rPr>
          <w:rFonts w:ascii="Times New Roman" w:cs="Times New Roman" w:eastAsia="Times New Roman" w:hAnsi="Times New Roman"/>
          <w:sz w:val="14"/>
          <w:szCs w:val="14"/>
          <w:color w:val="43435D"/>
        </w:rPr>
        <w:t>onths ended</w:t>
      </w:r>
      <w:r>
        <w:rPr>
          <w:rFonts w:ascii="Times New Roman" w:cs="Times New Roman" w:eastAsia="Times New Roman" w:hAnsi="Times New Roman"/>
          <w:sz w:val="14"/>
          <w:szCs w:val="14"/>
          <w:color w:val="auto"/>
        </w:rPr>
        <w:t xml:space="preserve"> September 27, 2026, compared to an income of $17 million in the nine months ended September 28, 2025. The increase was mainly driven by the gain on sale of $627 million related to the divestment of the MEMS Sensors business in the first quarter of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income (expense)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details of financial income and expenses: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 unless otherwise stated)</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YTD 2025</w:t>
            </w:r>
          </w:p>
        </w:tc>
      </w:tr>
      <w:tr>
        <w:trPr>
          <w:trHeight w:val="173"/>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financial income/ (expense)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w:t>
            </w:r>
          </w:p>
        </w:tc>
      </w:tr>
      <w:tr>
        <w:trPr>
          <w:trHeight w:val="20"/>
        </w:trPr>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2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Financial income (expense) was an expense of $97 million for the three months ended September 27, 2026, compared to an expense of $98 million for the three months ended September 28, 2025. The change in financial income (expense) is primarily attributable to a decrease in interest expense of $10 million, mainly driven by lower interest expenses from the redemption of notes and decreased borrowing under our commercial paper program, offset by the interest on three new bonds issued in August 2025. Other financial expenses increased year-over-year primarily due to fair value adjustments in equity securities resulting in a $2 million loss paired with an unfavorable foreign exchange rate result.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income (expense) was an expense of $290 million for the nine months ended September 27, 2026, compared to an expense of $276 million for the nine months ended September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financial income (expense) is primarily attributable to a decrease in interest income of $17 million mainly due to lower interest rates.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Benefit (provision) for income taxes</w:t>
      </w:r>
    </w:p>
    <w:p>
      <w:pPr>
        <w:spacing w:after="0" w:line="53"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Our provision for income taxes for 2026 is based on our EAETR of 19.7%, which is lower than the Netherlands statutory tax rate of 25.8%, primarily due to tax benefits from the Netherlands and foreign tax incentives.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Q3 2026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YTD 2025</w:t>
            </w:r>
          </w:p>
        </w:tc>
      </w:tr>
      <w:tr>
        <w:trPr>
          <w:trHeight w:val="173"/>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benefit (provision) calculated at EAETR</w:t>
            </w:r>
          </w:p>
        </w:tc>
        <w:tc>
          <w:tcPr>
            <w:tcW w:w="11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(691)</w:t>
            </w: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(380)</w:t>
            </w:r>
          </w:p>
        </w:tc>
      </w:tr>
      <w:tr>
        <w:trPr>
          <w:trHeight w:val="178"/>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Discrete tax benefit (provision) items</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(14)</w:t>
            </w:r>
          </w:p>
        </w:tc>
      </w:tr>
      <w:tr>
        <w:trPr>
          <w:trHeight w:val="18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(provision) for income taxes</w:t>
            </w: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(689)</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(394)</w:t>
            </w:r>
          </w:p>
        </w:tc>
      </w:tr>
      <w:tr>
        <w:trPr>
          <w:trHeight w:val="74"/>
        </w:trPr>
        <w:tc>
          <w:tcPr>
            <w:tcW w:w="6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Effective tax rate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20.2 %</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18.6 %</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19.6 %</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19.4 %</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5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The effective tax rate of 20.2% for the third quarter of 2026 was higher than the EAETR due to income tax expense for discrete items of $6 million. Excluding discrete items, the EAETR increased to 19.7% in 2026 from 18.7% in 2025, mainly as a result of a taxable capital gain and non-deductible goodwill associated with the divestiture of the MEMS Sensors business in the first quarter of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41"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4"/>
          <w:szCs w:val="14"/>
          <w:color w:val="auto"/>
        </w:rPr>
        <w:t>The effective tax rate for the first nine months of 2026 was 19.6% compared to 19.4% for the same period in 2025, with discrete items in the respective periods impacting the rates accordingly. Excluding discrete items, the EAETR increased to 19.7% in 2026 from 18.7% in 2025, mainly as a result of a taxable capital gain and non-deductible goodwill associated with the divestiture of the MEMS Sensors business in the first quarter of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Results Relating to Equity-accounted Investees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5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Results relating to equity-accounted investees amounted to a loss of $4 million for the three months ended September 27, 2026, whereas the three months ended September 28, 2025, results relating to equity-accounted investees amounted to a loss of $1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Results relating to equity-accounted investees amounted to a loss of $11 million for the nine months ended September 27, 2026, whereas the nine months ended September 28, 2025, results relating to equity-accounted investees amounted to a loss of $33 million (which includes an impairment charge of $27 million related to our investment in Sigma Sense).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Q3 2026 compared to Q3 2025</w:t>
      </w:r>
    </w:p>
    <w:p>
      <w:pPr>
        <w:spacing w:after="0" w:line="26"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Non-controlling interests are related to the third-party share in the results of consolidated companies, predominantly SSMC. Their share of non-controlling interests amounted to a profit of $15 million for the three months ended September 27, 2026, compared to a profit of $15 million for the three months ended September 28,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YTD 2026 compared to YTD 2025</w:t>
      </w:r>
    </w:p>
    <w:p>
      <w:pPr>
        <w:spacing w:after="0" w:line="5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Non-controlling interests are related to the third-party share in the results of consolidated companies, predominantly SSMC. Their share of non-controlling interests amounted to a profit of $41 million for the nine months ended September 27, 2026, compared to a profit of $34 million for the nine months ended September 28,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4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derive our liquidity and capital resources primarily from our cash flows from operations. We continue to generate strong positive operating cash flows. At the end of the third quarter of 2026, our cash balance was $3,943 million, an increase of $676 million compared to December 31, 2025. Taking into account the available amount of the unsecured revolving credit facility of $3,000 million ("RCF"), we had access to $6,943 million of liquidity as of September 27, 2026. We currently use cash to fund operations, meet working capital requirements, for capital expenditures and for potential common stock repurchases, dividends and strategic investments. Based on past performance and current expectations, we believe that our current available sources of funds (including cash and cash equivalents, RCF of $3,000 million, plus anticipated cash generated from operations) will be adequate to finance our operations, working capital requirements, capital expenditures and potential dividends for at least the next twelve months.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 unless otherwise stated)</w:t>
            </w:r>
          </w:p>
        </w:tc>
        <w:tc>
          <w:tcPr>
            <w:tcW w:w="182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YTD 2025</w:t>
            </w:r>
          </w:p>
        </w:tc>
      </w:tr>
      <w:tr>
        <w:trPr>
          <w:trHeight w:val="17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from operations</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2,909</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w:t>
            </w:r>
          </w:p>
        </w:tc>
      </w:tr>
      <w:tr>
        <w:trPr>
          <w:trHeight w:val="17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8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to shareholders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w:t>
      </w:r>
    </w:p>
    <w:p>
      <w:pPr>
        <w:spacing w:after="0" w:line="5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At September 27, 2026, our cash balance was $3,943 million of which $316 million was held by SSMC, our consolidated joint venture company with TSMC. Under the terms of our joint venture agreement with TSMC, a portion of this cash can be distributed by way of a dividend to us, but 38.8% of the dividend will be paid to our joint venture partner. During the first quarter of 2026, SSMC declared a dividend of $150 million, payable in two equal installments of $75 million in the first and third quarters. Of each installment, 38.8% was paid to our joint venture partner, TSMC.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cash outflows for capital expenditures were $199 million in the first nine months of 2026, compared to $299 million in the </w:t>
      </w:r>
      <w:r>
        <w:rPr>
          <w:rFonts w:ascii="Times New Roman" w:cs="Times New Roman" w:eastAsia="Times New Roman" w:hAnsi="Times New Roman"/>
          <w:sz w:val="14"/>
          <w:szCs w:val="14"/>
          <w:color w:val="43435D"/>
        </w:rPr>
        <w:t>first</w:t>
      </w:r>
      <w:r>
        <w:rPr>
          <w:rFonts w:ascii="Times New Roman" w:cs="Times New Roman" w:eastAsia="Times New Roman" w:hAnsi="Times New Roman"/>
          <w:sz w:val="14"/>
          <w:szCs w:val="14"/>
          <w:color w:val="auto"/>
        </w:rPr>
        <w:t xml:space="preserve"> nine months of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EIB Facilities</w:t>
      </w:r>
    </w:p>
    <w:p>
      <w:pPr>
        <w:spacing w:after="0" w:line="1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4"/>
          <w:szCs w:val="14"/>
          <w:color w:val="auto"/>
        </w:rPr>
        <w:t>On September 1, 2026, NXP B.V. entered into a facility agreement with the European Investment Bank, which provides for a $250 million unsecured senior loan facility (2026 EIB Facility A). Borrowings on the 2026 EIB Facility A may be denominated in Euro or U.S. Dollar and may bear interest at fixed or floating rates. The proceeds from borrowings are expected to be used to finance the design and implementation of an expansion of our semiconductor assembly and test facility in Kuala Lumpur, Malaysia. The 2026 EIB Facility A was undrawn as of September 27, 2026 and is subject to a commitment fee of 0.10% per annum on the available facility beginning six months after the agreement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return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first nine months of 2026, we repurchased approximately $309 million of shares.</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Under our Quarterly Dividend Program, interim dividends of $1.014 per ordinary share were paid on January 7, 2026 ($256 million) and dividends of $1.014 per ordinary share were paid on April 9, 2026 ($256 million), dividends of $1.014 per ordinary share were paid on July 9, 2026 ($256 million) and dividends of $1.014 per ordinary share were paid on October 8, 2026 ($256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1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4"/>
          <w:szCs w:val="14"/>
          <w:color w:val="auto"/>
        </w:rPr>
        <w:t>Our total debt, inclusive of aggregate principal, unamortized discounts, premiums, debt issuance costs and fair value adjustments, amounted to $10,978 million as of September 27, 2026, a decrease of $1,244 million compared to December 31, 2025 ($12,222 million).</w:t>
      </w:r>
    </w:p>
    <w:p>
      <w:pPr>
        <w:spacing w:after="0" w:line="11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As of September 27, 2026, we had outstanding fixed-rate notes with varying maturities for an aggregate principal amount of $9,999 million (collectively the “Notes”), of which $999 million is payable within 12 months. Future interest payments associated with the Notes total $2,572 million, with $381 million payable within 12 months.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27, 2026, the Company had outstanding loans with the European Investment Bank (EIB) with maturities in 2030 and 2031 for an aggregated principal amount of $1,040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interest payments associated with the EIB loans total $205 million, with $47 million payable within 12 months.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27, 2026, we had no commercial paper notes outstanding.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09"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Our net debt position (see section Use of Certain Non-GAAP Financial Measures) at September 27, 2026, amounted to $7,035 million, compared to $8,955 million as of 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Capital Requirements</w:t>
      </w:r>
    </w:p>
    <w:p>
      <w:pPr>
        <w:spacing w:after="0" w:line="5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Expected working and other capital requirements are described in our Annual Report on Form 10-K for the fiscal year ended December 31, 2025, in Part II, Item 7, “Management’s Discussion and Analysis of Financial Condition and Results of Operations”. At September 27, 2026, other than for changes disclosed in the “Notes to Condensed Consolidated Financial Statements” and “Liquidity and Capital Resources” in this Quarterly Report, there have been no other material changes to our expected working and other capital requirements described in our Annual Report on Form 10-K for the fiscal year ended December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cash and cash equivalents during the first nine months of 2026 increased by $683 million (excluding the effect of changes in exchange rates on our cash position of $7 million)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 unless otherwise stated)</w:t>
            </w:r>
          </w:p>
        </w:tc>
        <w:tc>
          <w:tcPr>
            <w:tcW w:w="182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YTD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YTD 2025</w:t>
            </w:r>
          </w:p>
        </w:tc>
      </w:tr>
      <w:tr>
        <w:trPr>
          <w:trHeight w:val="17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for) operating activities</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2,909</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w:t>
            </w:r>
          </w:p>
        </w:tc>
      </w:tr>
      <w:tr>
        <w:trPr>
          <w:trHeight w:val="17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(used for) investing activities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(1,891)</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for) financing activities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8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71"/>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 cash and cash equivalents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8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20"/>
        </w:trPr>
        <w:tc>
          <w:tcPr>
            <w:tcW w:w="76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from Operating Activities</w:t>
      </w:r>
    </w:p>
    <w:p>
      <w:pPr>
        <w:spacing w:after="0" w:line="53"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For the first nine months of 2026, our operating activities provided $2,909 million in cash. This was primarily the result of net income of $2,814 million, adjustments to reconcile the net income of $192 million and changes in operating assets and liabilities of $(112) million. Adjustments to net income (loss) include non-cash items, such as gain on sale of assets of $(627 million), depreciation and amortization of $555 million, share-based compensation of $328 million and changes in deferred taxes (benefit) of $(84 million).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operating assets and liabilities were primarily driven by:</w:t>
      </w:r>
    </w:p>
    <w:p>
      <w:pPr>
        <w:spacing w:after="0" w:line="51" w:lineRule="exact"/>
        <w:rPr>
          <w:sz w:val="20"/>
          <w:szCs w:val="20"/>
          <w:color w:val="auto"/>
        </w:rPr>
      </w:pPr>
    </w:p>
    <w:p>
      <w:pPr>
        <w:ind w:left="200" w:right="40" w:hanging="131"/>
        <w:spacing w:after="0" w:line="263" w:lineRule="auto"/>
        <w:tabs>
          <w:tab w:leader="none" w:pos="1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other non-current assets of $327 million due to payments to secure production supply (driven primarily by payments of $345 million to support the long-term capacity infrastructure of VSMC),</w:t>
      </w:r>
    </w:p>
    <w:p>
      <w:pPr>
        <w:ind w:left="160" w:hanging="91"/>
        <w:spacing w:after="0"/>
        <w:tabs>
          <w:tab w:leader="none" w:pos="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receivables and other current assets of $90 million primarily due to the higher trade accounts receivable driven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increased sales,</w:t>
      </w:r>
    </w:p>
    <w:p>
      <w:pPr>
        <w:spacing w:after="0" w:line="9" w:lineRule="exact"/>
        <w:rPr>
          <w:sz w:val="20"/>
          <w:szCs w:val="20"/>
          <w:color w:val="auto"/>
        </w:rPr>
      </w:pPr>
    </w:p>
    <w:p>
      <w:pPr>
        <w:ind w:left="180" w:hanging="111"/>
        <w:spacing w:after="0"/>
        <w:tabs>
          <w:tab w:leader="none" w:pos="18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Increase in accounts payable and other liabilities of $291 million primarily due to an increase in accrued variable compensation.</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For the first nine months of 2025 our operating activities provided $1,929 million in cash. This was primarily the result of net income of $1,600 million, adjustments to reconcile the net income of $960 million and changes in operating assets and liabilities of $(655) million. Adjustments to net income (loss) include non-cash items, such as depreciation and amortization of $617 million, share-based compensation of $362 million and changes in deferred taxes (benefit) of $(32) million.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operating assets and liabilities were primarily driven by:</w:t>
      </w:r>
    </w:p>
    <w:p>
      <w:pPr>
        <w:spacing w:after="0" w:line="51" w:lineRule="exact"/>
        <w:rPr>
          <w:sz w:val="20"/>
          <w:szCs w:val="20"/>
          <w:color w:val="auto"/>
        </w:rPr>
      </w:pPr>
    </w:p>
    <w:p>
      <w:pPr>
        <w:ind w:left="160" w:hanging="91"/>
        <w:spacing w:after="0"/>
        <w:tabs>
          <w:tab w:leader="none" w:pos="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in accounts payable and other liabilities of $296 million as a result of lower purchase volumes and timing related to payments,</w:t>
      </w:r>
    </w:p>
    <w:p>
      <w:pPr>
        <w:spacing w:after="0" w:line="23" w:lineRule="exact"/>
        <w:rPr>
          <w:rFonts w:ascii="Times New Roman" w:cs="Times New Roman" w:eastAsia="Times New Roman" w:hAnsi="Times New Roman"/>
          <w:sz w:val="14"/>
          <w:szCs w:val="14"/>
          <w:color w:val="auto"/>
        </w:rPr>
      </w:pPr>
    </w:p>
    <w:p>
      <w:pPr>
        <w:ind w:left="160" w:hanging="91"/>
        <w:spacing w:after="0"/>
        <w:tabs>
          <w:tab w:leader="none" w:pos="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inventories of $180 million to align inventory on hand with expected demand,</w:t>
      </w:r>
    </w:p>
    <w:p>
      <w:pPr>
        <w:spacing w:after="0" w:line="8" w:lineRule="exact"/>
        <w:rPr>
          <w:rFonts w:ascii="Times New Roman" w:cs="Times New Roman" w:eastAsia="Times New Roman" w:hAnsi="Times New Roman"/>
          <w:sz w:val="14"/>
          <w:szCs w:val="14"/>
          <w:color w:val="auto"/>
        </w:rPr>
      </w:pPr>
    </w:p>
    <w:p>
      <w:pPr>
        <w:ind w:left="160" w:hanging="91"/>
        <w:spacing w:after="0"/>
        <w:tabs>
          <w:tab w:leader="none" w:pos="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receivables and other current assets of $81 million due to the related timing of cash collection.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from Investing Activities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proceeds from investing activities of $94 million for the first nine months of 2026 was primarily driven by:</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Proceeds of $878 million (net of adjustments) from the sale of our MEMS Sensors business,</w:t>
      </w:r>
    </w:p>
    <w:p>
      <w:pPr>
        <w:spacing w:after="0" w:line="12" w:lineRule="exact"/>
        <w:rPr>
          <w:sz w:val="20"/>
          <w:szCs w:val="20"/>
          <w:color w:val="auto"/>
        </w:rPr>
      </w:pPr>
    </w:p>
    <w:p>
      <w:pPr>
        <w:ind w:left="160" w:hanging="91"/>
        <w:spacing w:after="0"/>
        <w:tabs>
          <w:tab w:leader="none" w:pos="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of investments of $505 million (driven primarily by the capital contributions of $404 million into VSMC),</w:t>
      </w:r>
    </w:p>
    <w:p>
      <w:pPr>
        <w:ind w:left="160" w:hanging="91"/>
        <w:spacing w:after="0" w:line="237" w:lineRule="auto"/>
        <w:tabs>
          <w:tab w:leader="none" w:pos="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of $199 million,</w:t>
      </w:r>
    </w:p>
    <w:p>
      <w:pPr>
        <w:ind w:left="160" w:hanging="91"/>
        <w:spacing w:after="0"/>
        <w:tabs>
          <w:tab w:leader="none" w:pos="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of identified intangible assets of $115 million, including EDA (electronic design automation).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for investing activities amounted to $1,891 million for the first nine months of 2025 was primarily driven by:</w:t>
      </w:r>
    </w:p>
    <w:p>
      <w:pPr>
        <w:spacing w:after="0" w:line="12" w:lineRule="exact"/>
        <w:rPr>
          <w:sz w:val="20"/>
          <w:szCs w:val="20"/>
          <w:color w:val="auto"/>
        </w:rPr>
      </w:pPr>
    </w:p>
    <w:p>
      <w:pPr>
        <w:ind w:left="160" w:hanging="91"/>
        <w:spacing w:after="0"/>
        <w:tabs>
          <w:tab w:leader="none" w:pos="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of interests in business (net of cash acquired) of $690 million (mainly driven by the acquisition of TTTech Auto for $679 million)</w:t>
      </w:r>
    </w:p>
    <w:p>
      <w:pPr>
        <w:ind w:left="160" w:hanging="91"/>
        <w:spacing w:after="0" w:line="237" w:lineRule="auto"/>
        <w:tabs>
          <w:tab w:leader="none" w:pos="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short-term deposits of $500 million,</w:t>
      </w:r>
    </w:p>
    <w:p>
      <w:pPr>
        <w:ind w:left="160" w:hanging="91"/>
        <w:spacing w:after="0"/>
        <w:tabs>
          <w:tab w:leader="none" w:pos="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of $299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78" w:right="379" w:bottom="1440" w:gutter="0" w:footer="0" w:header="0"/>
        </w:sectPr>
      </w:pPr>
    </w:p>
    <w:bookmarkStart w:id="35" w:name="page36"/>
    <w:bookmarkEnd w:id="35"/>
    <w:p>
      <w:pPr>
        <w:ind w:left="160" w:hanging="91"/>
        <w:spacing w:after="0"/>
        <w:tabs>
          <w:tab w:leader="none" w:pos="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of investments of $319 million (driven primarily by the capital contributions of $209 million into VSMC and approximately $47 million into ESMC),</w:t>
      </w:r>
    </w:p>
    <w:p>
      <w:pPr>
        <w:spacing w:after="0" w:line="14" w:lineRule="exact"/>
        <w:rPr>
          <w:rFonts w:ascii="Times New Roman" w:cs="Times New Roman" w:eastAsia="Times New Roman" w:hAnsi="Times New Roman"/>
          <w:sz w:val="14"/>
          <w:szCs w:val="14"/>
          <w:color w:val="auto"/>
        </w:rPr>
      </w:pPr>
    </w:p>
    <w:p>
      <w:pPr>
        <w:ind w:left="160" w:hanging="91"/>
        <w:spacing w:after="0"/>
        <w:tabs>
          <w:tab w:leader="none" w:pos="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of identified intangible assets of $85 million, including EDA (electronic design automation).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from Financing Activities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for financing activities of $2,320 million for the first nine months of 2026 was primarily driven by:</w:t>
      </w:r>
    </w:p>
    <w:p>
      <w:pPr>
        <w:spacing w:after="0" w:line="51" w:lineRule="exact"/>
        <w:rPr>
          <w:sz w:val="20"/>
          <w:szCs w:val="20"/>
          <w:color w:val="auto"/>
        </w:rPr>
      </w:pPr>
    </w:p>
    <w:p>
      <w:pPr>
        <w:ind w:left="80" w:hanging="75"/>
        <w:spacing w:after="0"/>
        <w:tabs>
          <w:tab w:leader="none" w:pos="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of long-term debt of $1,251 million,</w:t>
      </w:r>
    </w:p>
    <w:p>
      <w:pPr>
        <w:spacing w:after="0" w:line="23"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payments to common stockholders of $768 million,</w:t>
      </w:r>
    </w:p>
    <w:p>
      <w:pPr>
        <w:spacing w:after="0" w:line="8"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of treasury shares and restricted stock unit holdings of $309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from financing activities of $118 million for the first nine months of 2025 was primarily driven by:</w:t>
      </w:r>
    </w:p>
    <w:p>
      <w:pPr>
        <w:spacing w:after="0" w:line="23" w:lineRule="exact"/>
        <w:rPr>
          <w:sz w:val="20"/>
          <w:szCs w:val="20"/>
          <w:color w:val="auto"/>
        </w:rPr>
      </w:pPr>
    </w:p>
    <w:p>
      <w:pPr>
        <w:ind w:left="120" w:hanging="115"/>
        <w:spacing w:after="0"/>
        <w:tabs>
          <w:tab w:leader="none" w:pos="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from the issuance of commercial paper notes of $2,426 million,</w:t>
      </w:r>
    </w:p>
    <w:p>
      <w:pPr>
        <w:spacing w:after="0" w:line="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from issuance of long-term debt of $1,868 million,</w:t>
      </w:r>
    </w:p>
    <w:p>
      <w:pPr>
        <w:spacing w:after="0" w:line="8" w:lineRule="exact"/>
        <w:rPr>
          <w:rFonts w:ascii="Times New Roman" w:cs="Times New Roman" w:eastAsia="Times New Roman" w:hAnsi="Times New Roman"/>
          <w:sz w:val="14"/>
          <w:szCs w:val="14"/>
          <w:color w:val="auto"/>
        </w:rPr>
      </w:pPr>
    </w:p>
    <w:p>
      <w:pPr>
        <w:ind w:right="5459" w:firstLine="5"/>
        <w:spacing w:after="0" w:line="253" w:lineRule="auto"/>
        <w:tabs>
          <w:tab w:leader="none" w:pos="11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from the issuance of common stock through stock plans of $77 million, - Repayment of commercial paper notes of $2,411 million,</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Dividend payments to common stockholders of $771 million,</w:t>
      </w:r>
    </w:p>
    <w:p>
      <w:pPr>
        <w:spacing w:after="0" w:line="8" w:lineRule="exact"/>
        <w:rPr>
          <w:rFonts w:ascii="Times New Roman" w:cs="Times New Roman" w:eastAsia="Times New Roman" w:hAnsi="Times New Roman"/>
          <w:sz w:val="14"/>
          <w:szCs w:val="14"/>
          <w:color w:val="auto"/>
        </w:rPr>
      </w:pPr>
    </w:p>
    <w:p>
      <w:pPr>
        <w:ind w:right="5659"/>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Purchase of treasury shares and restricted stock unit holdings of $561 million, - Repurchase of long-term debt of $500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27"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Information Regarding Guarantors of NXP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Summarized Combined Financial Information for Guarantee of Securities of Subsidiaries</w:t>
      </w:r>
    </w:p>
    <w:p>
      <w:pPr>
        <w:spacing w:after="0" w:line="2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4"/>
          <w:szCs w:val="14"/>
          <w:color w:val="auto"/>
        </w:rPr>
        <w:t>All debt instruments are guaranteed, fully and unconditionally, jointly and severally, by NXP Semiconductors N.V. and issued or guaranteed by NXP USA, Inc., NXP B.V. and NXP LLC, (together, the “Subsidiary Obligors” and together with NXP Semiconductors N.V., the “Obligor Group”). Other than the Subsidiary Obligors, none of the Company’s subsidiaries (together the “Non-Guarantor Subsidiaries”) guarantee the Notes. The Company consolidates the Subsidiary Obligors in its Consolidated Financial Statements and each of the Subsidiary Obligors are wholly owned subsidiaries of the Company.</w:t>
      </w:r>
    </w:p>
    <w:p>
      <w:pPr>
        <w:spacing w:after="0" w:line="16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All of the existing guarantees by the Company rank equally in right of payment with all of the existing and future senior indebtedness of the Obligor Group. There are no significant restrictions on the ability of the Obligor Group to obtain funds from respective subsidiaries by dividend or loan.</w:t>
      </w:r>
    </w:p>
    <w:p>
      <w:pPr>
        <w:spacing w:after="0" w:line="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following tables present summarized financial information of the Obligor Group on a combined basis, with intercompany balances and transactions between entities of the Obligor Group eliminated and investments and equity in the earnings of the Non-Guarantor Subsidiaries excluded. The Obligor Group’s amounts due from, amounts due to, and intercompany transactions with Non-Guarantor Subsidiaries have been disclosed below the table, when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Summarized Statements of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40" w:type="dxa"/>
            <w:vAlign w:val="bottom"/>
          </w:tcPr>
          <w:p>
            <w:pPr>
              <w:spacing w:after="0"/>
              <w:rPr>
                <w:sz w:val="14"/>
                <w:szCs w:val="14"/>
                <w:color w:val="auto"/>
              </w:rPr>
            </w:pPr>
          </w:p>
        </w:tc>
        <w:tc>
          <w:tcPr>
            <w:tcW w:w="25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83"/>
        </w:trPr>
        <w:tc>
          <w:tcPr>
            <w:tcW w:w="8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25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September 27, 2026</w:t>
            </w:r>
          </w:p>
        </w:tc>
      </w:tr>
      <w:tr>
        <w:trPr>
          <w:trHeight w:val="25"/>
        </w:trPr>
        <w:tc>
          <w:tcPr>
            <w:tcW w:w="864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5,835</w:t>
            </w:r>
          </w:p>
        </w:tc>
      </w:tr>
      <w:tr>
        <w:trPr>
          <w:trHeight w:val="178"/>
        </w:trPr>
        <w:tc>
          <w:tcPr>
            <w:tcW w:w="8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2,861</w:t>
            </w:r>
          </w:p>
        </w:tc>
      </w:tr>
      <w:tr>
        <w:trPr>
          <w:trHeight w:val="18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w:t>
            </w:r>
          </w:p>
        </w:tc>
      </w:tr>
      <w:tr>
        <w:trPr>
          <w:trHeight w:val="176"/>
        </w:trPr>
        <w:tc>
          <w:tcPr>
            <w:tcW w:w="8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Net income</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w:t>
            </w: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Summarized Balance Sheets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3260" w:type="dxa"/>
            <w:vAlign w:val="bottom"/>
            <w:tcBorders>
              <w:bottom w:val="single" w:sz="8" w:color="auto"/>
            </w:tcBorders>
            <w:gridSpan w:val="3"/>
          </w:tcPr>
          <w:p>
            <w:pPr>
              <w:ind w:left="262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260" w:type="dxa"/>
            <w:vAlign w:val="bottom"/>
            <w:tcBorders>
              <w:bottom w:val="single" w:sz="8" w:color="auto"/>
            </w:tcBorders>
          </w:tcPr>
          <w:p>
            <w:pPr>
              <w:spacing w:after="0"/>
              <w:rPr>
                <w:sz w:val="14"/>
                <w:szCs w:val="14"/>
                <w:color w:val="auto"/>
              </w:rPr>
            </w:pPr>
          </w:p>
        </w:tc>
      </w:tr>
      <w:tr>
        <w:trPr>
          <w:trHeight w:val="171"/>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3260" w:type="dxa"/>
            <w:vAlign w:val="bottom"/>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2260" w:type="dxa"/>
            <w:vAlign w:val="bottom"/>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25"/>
        </w:trPr>
        <w:tc>
          <w:tcPr>
            <w:tcW w:w="5740" w:type="dxa"/>
            <w:vAlign w:val="bottom"/>
          </w:tcPr>
          <w:p>
            <w:pPr>
              <w:spacing w:after="0"/>
              <w:rPr>
                <w:sz w:val="2"/>
                <w:szCs w:val="2"/>
                <w:color w:val="auto"/>
              </w:rPr>
            </w:pPr>
          </w:p>
        </w:tc>
        <w:tc>
          <w:tcPr>
            <w:tcW w:w="2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3,182</w:t>
            </w:r>
          </w:p>
        </w:tc>
      </w:tr>
      <w:tr>
        <w:trPr>
          <w:trHeight w:val="17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12,360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12,461</w:t>
            </w: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Total assets</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57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60" w:type="dxa"/>
            <w:vAlign w:val="bottom"/>
          </w:tcPr>
          <w:p>
            <w:pPr>
              <w:spacing w:after="0"/>
              <w:rPr>
                <w:sz w:val="9"/>
                <w:szCs w:val="9"/>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2,044</w:t>
            </w:r>
          </w:p>
        </w:tc>
      </w:tr>
      <w:tr>
        <w:trPr>
          <w:trHeight w:val="17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10,460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11,405</w:t>
            </w:r>
          </w:p>
        </w:tc>
      </w:tr>
      <w:tr>
        <w:trPr>
          <w:trHeight w:val="17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Total liabilities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13,449</w:t>
            </w:r>
          </w:p>
        </w:tc>
      </w:tr>
      <w:tr>
        <w:trPr>
          <w:trHeight w:val="170"/>
        </w:trPr>
        <w:tc>
          <w:tcPr>
            <w:tcW w:w="5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Obligor's Group equity</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3,907</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w:t>
            </w:r>
          </w:p>
        </w:tc>
      </w:tr>
      <w:tr>
        <w:trPr>
          <w:trHeight w:val="169"/>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Total liabilities and Obligor's Group equity</w:t>
            </w: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16,107</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15,643</w:t>
            </w:r>
          </w:p>
        </w:tc>
      </w:tr>
      <w:tr>
        <w:trPr>
          <w:trHeight w:val="20"/>
        </w:trPr>
        <w:tc>
          <w:tcPr>
            <w:tcW w:w="574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NXP Semiconductors N.V. is the head of a fiscal unity for the corporate income tax and VAT that contains the most significant Dutch wholly owned group companies. The Company is therefore jointly and severally liable for the tax liabilities of the tax entity as a whole, and as such the income tax expense of the Dutch fiscal unity has been included in the net income of the Obligor Group.</w:t>
      </w:r>
    </w:p>
    <w:p>
      <w:pPr>
        <w:spacing w:after="0" w:line="14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financial information of the Obligor Group includes sales executed through a Non-Guarantor Subsidiary single-billing entity as a sales agent on behalf of an entity in the Obligor Group. The Obligor Group has sales to non-guarantors (for the nine months ended September 27, 2026: $533 million). The Obligor Group has amounts due from equity financing (September 27, 2026: $8,938 million; December 31, 2025: $7,756 million) and due to debt financing (September 27, 2026: $3,229 million; December 31, 2025: $2,695 million) with non-guarantor subsidiaries.</w:t>
      </w:r>
    </w:p>
    <w:p>
      <w:pPr>
        <w:spacing w:after="0" w:line="15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Certain prior period amounts included within the Information Regarding Guarantors disclosure have been adjusted for presentation purposes. These adjustments were immaterial in nature and related to the presentation of the Obligor Group amounts due from equity financing, non-current liabilities and corresponding equity balances in the summarized combined financial information. These adjustments did not impact the Company's consolidated financial statements, results of operations, cash flows, earnings per share, or debt covenant compliance.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7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Use of Certain Non-GAAP Financial Measures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Non-GAAP Financial Measures</w:t>
      </w:r>
    </w:p>
    <w:p>
      <w:pPr>
        <w:spacing w:after="0" w:line="16"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14"/>
          <w:szCs w:val="14"/>
          <w:color w:val="auto"/>
        </w:rPr>
        <w:t>In addition to providing financial information on a basis consistent with U.S. generally accepted accounting principles (“US GAAP” or “GAAP”), NXP also provides selected financial measures on a non-GAAP basis which are adjusted for specified items. The adjustments made to achieve these non-GAAP financial measures or the non-GAAP financial measures as specified are described below, including the usefulness to management and investors.</w:t>
      </w:r>
    </w:p>
    <w:p>
      <w:pPr>
        <w:spacing w:after="0" w:line="165" w:lineRule="exact"/>
        <w:rPr>
          <w:sz w:val="20"/>
          <w:szCs w:val="20"/>
          <w:color w:val="auto"/>
        </w:rPr>
      </w:pPr>
    </w:p>
    <w:p>
      <w:pPr>
        <w:ind w:right="100"/>
        <w:spacing w:after="0" w:line="161" w:lineRule="exact"/>
        <w:rPr>
          <w:sz w:val="20"/>
          <w:szCs w:val="20"/>
          <w:color w:val="auto"/>
        </w:rPr>
      </w:pPr>
      <w:r>
        <w:rPr>
          <w:rFonts w:ascii="Times New Roman" w:cs="Times New Roman" w:eastAsia="Times New Roman" w:hAnsi="Times New Roman"/>
          <w:sz w:val="14"/>
          <w:szCs w:val="14"/>
          <w:color w:val="auto"/>
        </w:rPr>
        <w:t>In managing NXP’s business on a consolidated basis, management develops an annual operating plan, which is approved by our Board of Directors, using non-GAAP financial measures. When measuring performance against this plan, management considers the actual or potential impacts on these non-GAAP financial measures from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reduction actions with the goal of increasing our gross margin and operating margin, as well as in assessing appropriate levels of research and development efforts. In addition, management relies upon these non-GAAP financial measures when making decisions about product spending, administrative budgets, and other operating expenses. We believe that these non-GAAP financial measures, when coupled with the GAAP results and the reconciliations to corresponding GAAP financial measures, provide a more complete understanding of the Company’s results of operations and the factors and trends affecting NXP’s business. We believe that they enable investors to make additional comparisons of our operating results, to assess our liquidity and capital position and to analyze financial performance excluding the effect of expenses unrelated to core operating performance, certain non-cash expenses and share-based compensation expense, which may obscure trends in NXP’s underlying performance. This information also enables investors to compare financial results between periods where certain items may vary independent of business performance and allow for greater transparency with respect to key metrics used by management.</w:t>
      </w:r>
    </w:p>
    <w:p>
      <w:pPr>
        <w:spacing w:after="0" w:line="17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The presentation of these and other similar items in NXP’s non-GAAP financial results should not be interpreted as implying that these items are non-recurring, infrequent, or unusual. These non-GAAP financial measures are provided in addition to, and not as a substitute for, or superior to, measures of financial performance prepared in accordance with GAAP.</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29"/>
        </w:trPr>
        <w:tc>
          <w:tcPr>
            <w:tcW w:w="1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Non-GAAP Adjustment or</w:t>
            </w:r>
          </w:p>
        </w:tc>
        <w:tc>
          <w:tcPr>
            <w:tcW w:w="57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Definition</w:t>
            </w:r>
          </w:p>
        </w:tc>
        <w:tc>
          <w:tcPr>
            <w:tcW w:w="3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Usefulness to Management and Investors</w:t>
            </w:r>
          </w:p>
        </w:tc>
      </w:tr>
      <w:tr>
        <w:trPr>
          <w:trHeight w:val="153"/>
        </w:trPr>
        <w:tc>
          <w:tcPr>
            <w:tcW w:w="1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Measure</w:t>
            </w:r>
          </w:p>
        </w:tc>
        <w:tc>
          <w:tcPr>
            <w:tcW w:w="5720" w:type="dxa"/>
            <w:vAlign w:val="bottom"/>
            <w:tcBorders>
              <w:bottom w:val="single" w:sz="8" w:color="auto"/>
              <w:right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13"/>
                <w:szCs w:val="13"/>
                <w:color w:val="auto"/>
              </w:rPr>
            </w:pPr>
          </w:p>
        </w:tc>
      </w:tr>
      <w:tr>
        <w:trPr>
          <w:trHeight w:val="115"/>
        </w:trPr>
        <w:tc>
          <w:tcPr>
            <w:tcW w:w="1880" w:type="dxa"/>
            <w:vAlign w:val="bottom"/>
            <w:tcBorders>
              <w:left w:val="single" w:sz="8" w:color="auto"/>
              <w:right w:val="single" w:sz="8" w:color="auto"/>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Purchase price accounting effects</w:t>
            </w:r>
          </w:p>
        </w:tc>
        <w:tc>
          <w:tcPr>
            <w:tcW w:w="5720" w:type="dxa"/>
            <w:vAlign w:val="bottom"/>
            <w:tcBorders>
              <w:right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Purchase price accounting ("PPA") effects reflect the fair value adjustments impacting acquisition accounting and other</w:t>
            </w:r>
          </w:p>
        </w:tc>
        <w:tc>
          <w:tcPr>
            <w:tcW w:w="3680" w:type="dxa"/>
            <w:vAlign w:val="bottom"/>
            <w:tcBorders>
              <w:right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We believe that excluding these charges related to fair value adjustments for</w:t>
            </w:r>
          </w:p>
        </w:tc>
      </w:tr>
      <w:tr>
        <w:trPr>
          <w:trHeight w:val="117"/>
        </w:trPr>
        <w:tc>
          <w:tcPr>
            <w:tcW w:w="1880" w:type="dxa"/>
            <w:vAlign w:val="bottom"/>
            <w:tcBorders>
              <w:left w:val="single" w:sz="8" w:color="auto"/>
              <w:right w:val="single" w:sz="8" w:color="auto"/>
            </w:tcBorders>
            <w:shd w:val="clear" w:color="auto" w:fill="CCEEFF"/>
          </w:tcPr>
          <w:p>
            <w:pPr>
              <w:spacing w:after="0"/>
              <w:rPr>
                <w:sz w:val="10"/>
                <w:szCs w:val="10"/>
                <w:color w:val="auto"/>
              </w:rPr>
            </w:pPr>
          </w:p>
        </w:tc>
        <w:tc>
          <w:tcPr>
            <w:tcW w:w="572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acquisition adjustments charged to the Consolidated Statement of Operations. This typically relates to inventory, property,</w:t>
            </w:r>
          </w:p>
        </w:tc>
        <w:tc>
          <w:tcPr>
            <w:tcW w:w="368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purposes of calculating certain non-GAAP measures allows the users of our</w:t>
            </w:r>
          </w:p>
        </w:tc>
      </w:tr>
      <w:tr>
        <w:trPr>
          <w:trHeight w:val="113"/>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plant and equipment, as well as intangible assets, such as developed technology and marketing and customer relationships</w:t>
            </w:r>
          </w:p>
        </w:tc>
        <w:tc>
          <w:tcPr>
            <w:tcW w:w="368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financial statements to better understand the historic and current cost of our</w:t>
            </w:r>
          </w:p>
        </w:tc>
      </w:tr>
      <w:tr>
        <w:trPr>
          <w:trHeight w:val="110"/>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acquired. The PPA effects are recorded within both cost of revenue and operating expenses in our US GAAP financial</w:t>
            </w:r>
          </w:p>
        </w:tc>
        <w:tc>
          <w:tcPr>
            <w:tcW w:w="3680" w:type="dxa"/>
            <w:vAlign w:val="bottom"/>
            <w:tcBorders>
              <w:right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products, our gross margin, our operating costs, our operating margin, and also</w:t>
            </w:r>
          </w:p>
        </w:tc>
      </w:tr>
      <w:tr>
        <w:trPr>
          <w:trHeight w:val="117"/>
        </w:trPr>
        <w:tc>
          <w:tcPr>
            <w:tcW w:w="1880" w:type="dxa"/>
            <w:vAlign w:val="bottom"/>
            <w:tcBorders>
              <w:left w:val="single" w:sz="8" w:color="auto"/>
              <w:right w:val="single" w:sz="8" w:color="auto"/>
            </w:tcBorders>
            <w:shd w:val="clear" w:color="auto" w:fill="CCEEFF"/>
          </w:tcPr>
          <w:p>
            <w:pPr>
              <w:spacing w:after="0"/>
              <w:rPr>
                <w:sz w:val="10"/>
                <w:szCs w:val="10"/>
                <w:color w:val="auto"/>
              </w:rPr>
            </w:pPr>
          </w:p>
        </w:tc>
        <w:tc>
          <w:tcPr>
            <w:tcW w:w="572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statements. These charges are recorded over the estimated useful life of the related acquired asset and thus are generally</w:t>
            </w:r>
          </w:p>
        </w:tc>
        <w:tc>
          <w:tcPr>
            <w:tcW w:w="368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facilitates comparisons to peer companies.</w:t>
            </w:r>
          </w:p>
        </w:tc>
      </w:tr>
      <w:tr>
        <w:trPr>
          <w:trHeight w:val="151"/>
        </w:trPr>
        <w:tc>
          <w:tcPr>
            <w:tcW w:w="18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5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recorded over multiple years.</w:t>
            </w:r>
          </w:p>
        </w:tc>
        <w:tc>
          <w:tcPr>
            <w:tcW w:w="368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15"/>
        </w:trPr>
        <w:tc>
          <w:tcPr>
            <w:tcW w:w="1880" w:type="dxa"/>
            <w:vAlign w:val="bottom"/>
            <w:tcBorders>
              <w:left w:val="single" w:sz="8" w:color="auto"/>
              <w:right w:val="single" w:sz="8" w:color="auto"/>
            </w:tcBorders>
          </w:tcPr>
          <w:p>
            <w:pPr>
              <w:ind w:left="20"/>
              <w:spacing w:after="0" w:line="116" w:lineRule="exact"/>
              <w:rPr>
                <w:sz w:val="20"/>
                <w:szCs w:val="20"/>
                <w:color w:val="auto"/>
              </w:rPr>
            </w:pPr>
            <w:r>
              <w:rPr>
                <w:rFonts w:ascii="Times New Roman" w:cs="Times New Roman" w:eastAsia="Times New Roman" w:hAnsi="Times New Roman"/>
                <w:sz w:val="11"/>
                <w:szCs w:val="11"/>
                <w:color w:val="auto"/>
              </w:rPr>
              <w:t>Restructuring</w:t>
            </w:r>
          </w:p>
        </w:tc>
        <w:tc>
          <w:tcPr>
            <w:tcW w:w="5720" w:type="dxa"/>
            <w:vAlign w:val="bottom"/>
            <w:tcBorders>
              <w:right w:val="single" w:sz="8" w:color="auto"/>
            </w:tcBorders>
          </w:tcPr>
          <w:p>
            <w:pPr>
              <w:spacing w:after="0" w:line="116" w:lineRule="exact"/>
              <w:rPr>
                <w:sz w:val="20"/>
                <w:szCs w:val="20"/>
                <w:color w:val="auto"/>
              </w:rPr>
            </w:pPr>
            <w:r>
              <w:rPr>
                <w:rFonts w:ascii="Times New Roman" w:cs="Times New Roman" w:eastAsia="Times New Roman" w:hAnsi="Times New Roman"/>
                <w:sz w:val="11"/>
                <w:szCs w:val="11"/>
                <w:color w:val="auto"/>
              </w:rPr>
              <w:t>Restructuring charges are costs associated with a restructuring plan and are primarily related to employee severance and</w:t>
            </w:r>
          </w:p>
        </w:tc>
        <w:tc>
          <w:tcPr>
            <w:tcW w:w="3680" w:type="dxa"/>
            <w:vAlign w:val="bottom"/>
            <w:tcBorders>
              <w:right w:val="single" w:sz="8" w:color="auto"/>
            </w:tcBorders>
          </w:tcPr>
          <w:p>
            <w:pPr>
              <w:spacing w:after="0" w:line="116" w:lineRule="exact"/>
              <w:rPr>
                <w:sz w:val="20"/>
                <w:szCs w:val="20"/>
                <w:color w:val="auto"/>
              </w:rPr>
            </w:pPr>
            <w:r>
              <w:rPr>
                <w:rFonts w:ascii="Times New Roman" w:cs="Times New Roman" w:eastAsia="Times New Roman" w:hAnsi="Times New Roman"/>
                <w:sz w:val="11"/>
                <w:szCs w:val="11"/>
                <w:color w:val="auto"/>
              </w:rPr>
              <w:t>We exclude restructuring charges, including any adjustments to charges</w:t>
            </w:r>
          </w:p>
        </w:tc>
      </w:tr>
      <w:tr>
        <w:trPr>
          <w:trHeight w:val="117"/>
        </w:trPr>
        <w:tc>
          <w:tcPr>
            <w:tcW w:w="1880" w:type="dxa"/>
            <w:vAlign w:val="bottom"/>
            <w:tcBorders>
              <w:left w:val="single" w:sz="8" w:color="auto"/>
              <w:right w:val="single" w:sz="8" w:color="auto"/>
            </w:tcBorders>
          </w:tcPr>
          <w:p>
            <w:pPr>
              <w:spacing w:after="0"/>
              <w:rPr>
                <w:sz w:val="10"/>
                <w:szCs w:val="10"/>
                <w:color w:val="auto"/>
              </w:rPr>
            </w:pPr>
          </w:p>
        </w:tc>
        <w:tc>
          <w:tcPr>
            <w:tcW w:w="57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benefit arrangements. Charges related to restructuring are recorded within both cost of revenue and operating expenses in</w:t>
            </w:r>
          </w:p>
        </w:tc>
        <w:tc>
          <w:tcPr>
            <w:tcW w:w="368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recorded in prior periods, for purposes of calculating certain non-GAAP</w:t>
            </w:r>
          </w:p>
        </w:tc>
      </w:tr>
      <w:tr>
        <w:trPr>
          <w:trHeight w:val="113"/>
        </w:trPr>
        <w:tc>
          <w:tcPr>
            <w:tcW w:w="1880" w:type="dxa"/>
            <w:vAlign w:val="bottom"/>
            <w:tcBorders>
              <w:left w:val="single" w:sz="8" w:color="auto"/>
              <w:right w:val="single" w:sz="8" w:color="auto"/>
            </w:tcBorders>
          </w:tcPr>
          <w:p>
            <w:pPr>
              <w:spacing w:after="0"/>
              <w:rPr>
                <w:sz w:val="9"/>
                <w:szCs w:val="9"/>
                <w:color w:val="auto"/>
              </w:rPr>
            </w:pPr>
          </w:p>
        </w:tc>
        <w:tc>
          <w:tcPr>
            <w:tcW w:w="5720" w:type="dxa"/>
            <w:vAlign w:val="bottom"/>
            <w:tcBorders>
              <w:right w:val="single" w:sz="8" w:color="auto"/>
            </w:tcBorders>
          </w:tcPr>
          <w:p>
            <w:pPr>
              <w:spacing w:after="0" w:line="113" w:lineRule="exact"/>
              <w:rPr>
                <w:sz w:val="20"/>
                <w:szCs w:val="20"/>
                <w:color w:val="auto"/>
              </w:rPr>
            </w:pPr>
            <w:r>
              <w:rPr>
                <w:rFonts w:ascii="Times New Roman" w:cs="Times New Roman" w:eastAsia="Times New Roman" w:hAnsi="Times New Roman"/>
                <w:sz w:val="11"/>
                <w:szCs w:val="11"/>
                <w:color w:val="auto"/>
              </w:rPr>
              <w:t>our US GAAP financial statements</w:t>
            </w:r>
          </w:p>
        </w:tc>
        <w:tc>
          <w:tcPr>
            <w:tcW w:w="3680" w:type="dxa"/>
            <w:vAlign w:val="bottom"/>
            <w:tcBorders>
              <w:right w:val="single" w:sz="8" w:color="auto"/>
            </w:tcBorders>
          </w:tcPr>
          <w:p>
            <w:pPr>
              <w:spacing w:after="0" w:line="113" w:lineRule="exact"/>
              <w:rPr>
                <w:sz w:val="20"/>
                <w:szCs w:val="20"/>
                <w:color w:val="auto"/>
              </w:rPr>
            </w:pPr>
            <w:r>
              <w:rPr>
                <w:rFonts w:ascii="Times New Roman" w:cs="Times New Roman" w:eastAsia="Times New Roman" w:hAnsi="Times New Roman"/>
                <w:sz w:val="11"/>
                <w:szCs w:val="11"/>
                <w:color w:val="auto"/>
              </w:rPr>
              <w:t>measures because these costs do not reflect our core operating performance.</w:t>
            </w:r>
          </w:p>
        </w:tc>
      </w:tr>
      <w:tr>
        <w:trPr>
          <w:trHeight w:val="110"/>
        </w:trPr>
        <w:tc>
          <w:tcPr>
            <w:tcW w:w="1880" w:type="dxa"/>
            <w:vAlign w:val="bottom"/>
            <w:tcBorders>
              <w:left w:val="single" w:sz="8" w:color="auto"/>
              <w:right w:val="single" w:sz="8" w:color="auto"/>
            </w:tcBorders>
          </w:tcPr>
          <w:p>
            <w:pPr>
              <w:spacing w:after="0"/>
              <w:rPr>
                <w:sz w:val="9"/>
                <w:szCs w:val="9"/>
                <w:color w:val="auto"/>
              </w:rPr>
            </w:pPr>
          </w:p>
        </w:tc>
        <w:tc>
          <w:tcPr>
            <w:tcW w:w="5720" w:type="dxa"/>
            <w:vAlign w:val="bottom"/>
            <w:tcBorders>
              <w:right w:val="single" w:sz="8" w:color="auto"/>
            </w:tcBorders>
          </w:tcPr>
          <w:p>
            <w:pPr>
              <w:spacing w:after="0"/>
              <w:rPr>
                <w:sz w:val="9"/>
                <w:szCs w:val="9"/>
                <w:color w:val="auto"/>
              </w:rPr>
            </w:pPr>
          </w:p>
        </w:tc>
        <w:tc>
          <w:tcPr>
            <w:tcW w:w="368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1"/>
                <w:szCs w:val="11"/>
                <w:color w:val="auto"/>
              </w:rPr>
              <w:t>These adjustments facilitate a useful evaluation of our core operating</w:t>
            </w:r>
          </w:p>
        </w:tc>
      </w:tr>
      <w:tr>
        <w:trPr>
          <w:trHeight w:val="117"/>
        </w:trPr>
        <w:tc>
          <w:tcPr>
            <w:tcW w:w="1880" w:type="dxa"/>
            <w:vAlign w:val="bottom"/>
            <w:tcBorders>
              <w:left w:val="single" w:sz="8" w:color="auto"/>
              <w:right w:val="single" w:sz="8" w:color="auto"/>
            </w:tcBorders>
          </w:tcPr>
          <w:p>
            <w:pPr>
              <w:spacing w:after="0"/>
              <w:rPr>
                <w:sz w:val="10"/>
                <w:szCs w:val="10"/>
                <w:color w:val="auto"/>
              </w:rPr>
            </w:pPr>
          </w:p>
        </w:tc>
        <w:tc>
          <w:tcPr>
            <w:tcW w:w="572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performance and comparisons to past operating results and provide investors</w:t>
            </w:r>
          </w:p>
        </w:tc>
      </w:tr>
      <w:tr>
        <w:trPr>
          <w:trHeight w:val="151"/>
        </w:trPr>
        <w:tc>
          <w:tcPr>
            <w:tcW w:w="1880" w:type="dxa"/>
            <w:vAlign w:val="bottom"/>
            <w:tcBorders>
              <w:left w:val="single" w:sz="8" w:color="auto"/>
              <w:bottom w:val="single" w:sz="8" w:color="auto"/>
              <w:right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with additional means to evaluate expense trends.</w:t>
            </w:r>
          </w:p>
        </w:tc>
      </w:tr>
      <w:tr>
        <w:trPr>
          <w:trHeight w:val="115"/>
        </w:trPr>
        <w:tc>
          <w:tcPr>
            <w:tcW w:w="1880" w:type="dxa"/>
            <w:vAlign w:val="bottom"/>
            <w:tcBorders>
              <w:left w:val="single" w:sz="8" w:color="auto"/>
              <w:right w:val="single" w:sz="8" w:color="auto"/>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Share-based compensation</w:t>
            </w:r>
          </w:p>
        </w:tc>
        <w:tc>
          <w:tcPr>
            <w:tcW w:w="5720" w:type="dxa"/>
            <w:vAlign w:val="bottom"/>
            <w:tcBorders>
              <w:right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Share-based compensation consists of incentive expense granted to eligible employees in the form of equity-based</w:t>
            </w:r>
          </w:p>
        </w:tc>
        <w:tc>
          <w:tcPr>
            <w:tcW w:w="3680" w:type="dxa"/>
            <w:vAlign w:val="bottom"/>
            <w:tcBorders>
              <w:right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We exclude charges related to share-based compensation for purposes of</w:t>
            </w:r>
          </w:p>
        </w:tc>
      </w:tr>
      <w:tr>
        <w:trPr>
          <w:trHeight w:val="117"/>
        </w:trPr>
        <w:tc>
          <w:tcPr>
            <w:tcW w:w="1880" w:type="dxa"/>
            <w:vAlign w:val="bottom"/>
            <w:tcBorders>
              <w:left w:val="single" w:sz="8" w:color="auto"/>
              <w:right w:val="single" w:sz="8" w:color="auto"/>
            </w:tcBorders>
            <w:shd w:val="clear" w:color="auto" w:fill="CCEEFF"/>
          </w:tcPr>
          <w:p>
            <w:pPr>
              <w:spacing w:after="0"/>
              <w:rPr>
                <w:sz w:val="10"/>
                <w:szCs w:val="10"/>
                <w:color w:val="auto"/>
              </w:rPr>
            </w:pPr>
          </w:p>
        </w:tc>
        <w:tc>
          <w:tcPr>
            <w:tcW w:w="572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instruments. Charges related to share-based compensation are recorded within both cost of revenue and operating expenses</w:t>
            </w:r>
          </w:p>
        </w:tc>
        <w:tc>
          <w:tcPr>
            <w:tcW w:w="368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calculating certain non-GAAP measures because we believe these charges,</w:t>
            </w:r>
          </w:p>
        </w:tc>
      </w:tr>
      <w:tr>
        <w:trPr>
          <w:trHeight w:val="113"/>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in our US GAAP financial statements.</w:t>
            </w:r>
          </w:p>
        </w:tc>
        <w:tc>
          <w:tcPr>
            <w:tcW w:w="368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which are non-cash, are not representative of our core operating performance as</w:t>
            </w:r>
          </w:p>
        </w:tc>
      </w:tr>
      <w:tr>
        <w:trPr>
          <w:trHeight w:val="110"/>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rPr>
                <w:sz w:val="9"/>
                <w:szCs w:val="9"/>
                <w:color w:val="auto"/>
              </w:rPr>
            </w:pPr>
          </w:p>
        </w:tc>
        <w:tc>
          <w:tcPr>
            <w:tcW w:w="3680" w:type="dxa"/>
            <w:vAlign w:val="bottom"/>
            <w:tcBorders>
              <w:right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they can fluctuate from period to period based on factors that are not within our</w:t>
            </w:r>
          </w:p>
        </w:tc>
      </w:tr>
      <w:tr>
        <w:trPr>
          <w:trHeight w:val="117"/>
        </w:trPr>
        <w:tc>
          <w:tcPr>
            <w:tcW w:w="1880" w:type="dxa"/>
            <w:vAlign w:val="bottom"/>
            <w:tcBorders>
              <w:left w:val="single" w:sz="8" w:color="auto"/>
              <w:right w:val="single" w:sz="8" w:color="auto"/>
            </w:tcBorders>
            <w:shd w:val="clear" w:color="auto" w:fill="CCEEFF"/>
          </w:tcPr>
          <w:p>
            <w:pPr>
              <w:spacing w:after="0"/>
              <w:rPr>
                <w:sz w:val="10"/>
                <w:szCs w:val="10"/>
                <w:color w:val="auto"/>
              </w:rPr>
            </w:pPr>
          </w:p>
        </w:tc>
        <w:tc>
          <w:tcPr>
            <w:tcW w:w="5720" w:type="dxa"/>
            <w:vAlign w:val="bottom"/>
            <w:tcBorders>
              <w:right w:val="single" w:sz="8" w:color="auto"/>
            </w:tcBorders>
            <w:shd w:val="clear" w:color="auto" w:fill="CCEEFF"/>
          </w:tcPr>
          <w:p>
            <w:pPr>
              <w:spacing w:after="0"/>
              <w:rPr>
                <w:sz w:val="10"/>
                <w:szCs w:val="10"/>
                <w:color w:val="auto"/>
              </w:rPr>
            </w:pPr>
          </w:p>
        </w:tc>
        <w:tc>
          <w:tcPr>
            <w:tcW w:w="368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control, such as our stock price on the dates share-based grants are issued. We</w:t>
            </w:r>
          </w:p>
        </w:tc>
      </w:tr>
      <w:tr>
        <w:trPr>
          <w:trHeight w:val="113"/>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rPr>
                <w:sz w:val="9"/>
                <w:szCs w:val="9"/>
                <w:color w:val="auto"/>
              </w:rPr>
            </w:pPr>
          </w:p>
        </w:tc>
        <w:tc>
          <w:tcPr>
            <w:tcW w:w="368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believe these adjustments provide investors with a useful view, through the eyes</w:t>
            </w:r>
          </w:p>
        </w:tc>
      </w:tr>
      <w:tr>
        <w:trPr>
          <w:trHeight w:val="110"/>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rPr>
                <w:sz w:val="9"/>
                <w:szCs w:val="9"/>
                <w:color w:val="auto"/>
              </w:rPr>
            </w:pPr>
          </w:p>
        </w:tc>
        <w:tc>
          <w:tcPr>
            <w:tcW w:w="3680" w:type="dxa"/>
            <w:vAlign w:val="bottom"/>
            <w:tcBorders>
              <w:right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of management, of our core business model, how management currently</w:t>
            </w:r>
          </w:p>
        </w:tc>
      </w:tr>
      <w:tr>
        <w:trPr>
          <w:trHeight w:val="117"/>
        </w:trPr>
        <w:tc>
          <w:tcPr>
            <w:tcW w:w="1880" w:type="dxa"/>
            <w:vAlign w:val="bottom"/>
            <w:tcBorders>
              <w:left w:val="single" w:sz="8" w:color="auto"/>
              <w:right w:val="single" w:sz="8" w:color="auto"/>
            </w:tcBorders>
            <w:shd w:val="clear" w:color="auto" w:fill="CCEEFF"/>
          </w:tcPr>
          <w:p>
            <w:pPr>
              <w:spacing w:after="0"/>
              <w:rPr>
                <w:sz w:val="10"/>
                <w:szCs w:val="10"/>
                <w:color w:val="auto"/>
              </w:rPr>
            </w:pPr>
          </w:p>
        </w:tc>
        <w:tc>
          <w:tcPr>
            <w:tcW w:w="5720" w:type="dxa"/>
            <w:vAlign w:val="bottom"/>
            <w:tcBorders>
              <w:right w:val="single" w:sz="8" w:color="auto"/>
            </w:tcBorders>
            <w:shd w:val="clear" w:color="auto" w:fill="CCEEFF"/>
          </w:tcPr>
          <w:p>
            <w:pPr>
              <w:spacing w:after="0"/>
              <w:rPr>
                <w:sz w:val="10"/>
                <w:szCs w:val="10"/>
                <w:color w:val="auto"/>
              </w:rPr>
            </w:pPr>
          </w:p>
        </w:tc>
        <w:tc>
          <w:tcPr>
            <w:tcW w:w="368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evaluates core operational performance, and additional means to evaluate</w:t>
            </w:r>
          </w:p>
        </w:tc>
      </w:tr>
      <w:tr>
        <w:trPr>
          <w:trHeight w:val="151"/>
        </w:trPr>
        <w:tc>
          <w:tcPr>
            <w:tcW w:w="18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5720" w:type="dxa"/>
            <w:vAlign w:val="bottom"/>
            <w:tcBorders>
              <w:bottom w:val="single" w:sz="8" w:color="auto"/>
              <w:right w:val="single" w:sz="8" w:color="auto"/>
            </w:tcBorders>
            <w:shd w:val="clear" w:color="auto" w:fill="CCEEFF"/>
          </w:tcPr>
          <w:p>
            <w:pPr>
              <w:spacing w:after="0"/>
              <w:rPr>
                <w:sz w:val="13"/>
                <w:szCs w:val="13"/>
                <w:color w:val="auto"/>
              </w:rPr>
            </w:pPr>
          </w:p>
        </w:tc>
        <w:tc>
          <w:tcPr>
            <w:tcW w:w="36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 trends.</w:t>
            </w:r>
          </w:p>
        </w:tc>
      </w:tr>
      <w:tr>
        <w:trPr>
          <w:trHeight w:val="115"/>
        </w:trPr>
        <w:tc>
          <w:tcPr>
            <w:tcW w:w="1880" w:type="dxa"/>
            <w:vAlign w:val="bottom"/>
            <w:tcBorders>
              <w:left w:val="single" w:sz="8" w:color="auto"/>
              <w:right w:val="single" w:sz="8" w:color="auto"/>
            </w:tcBorders>
          </w:tcPr>
          <w:p>
            <w:pPr>
              <w:ind w:left="20"/>
              <w:spacing w:after="0" w:line="116" w:lineRule="exact"/>
              <w:rPr>
                <w:sz w:val="20"/>
                <w:szCs w:val="20"/>
                <w:color w:val="auto"/>
              </w:rPr>
            </w:pPr>
            <w:r>
              <w:rPr>
                <w:rFonts w:ascii="Times New Roman" w:cs="Times New Roman" w:eastAsia="Times New Roman" w:hAnsi="Times New Roman"/>
                <w:sz w:val="11"/>
                <w:szCs w:val="11"/>
                <w:color w:val="auto"/>
              </w:rPr>
              <w:t>Other incidentals</w:t>
            </w:r>
          </w:p>
        </w:tc>
        <w:tc>
          <w:tcPr>
            <w:tcW w:w="5720" w:type="dxa"/>
            <w:vAlign w:val="bottom"/>
            <w:tcBorders>
              <w:right w:val="single" w:sz="8" w:color="auto"/>
            </w:tcBorders>
          </w:tcPr>
          <w:p>
            <w:pPr>
              <w:spacing w:after="0" w:line="116" w:lineRule="exact"/>
              <w:rPr>
                <w:sz w:val="20"/>
                <w:szCs w:val="20"/>
                <w:color w:val="auto"/>
              </w:rPr>
            </w:pPr>
            <w:r>
              <w:rPr>
                <w:rFonts w:ascii="Times New Roman" w:cs="Times New Roman" w:eastAsia="Times New Roman" w:hAnsi="Times New Roman"/>
                <w:sz w:val="11"/>
                <w:szCs w:val="11"/>
                <w:color w:val="auto"/>
              </w:rPr>
              <w:t>Other incidentals consist of certain items which may be non-recurring, unusual, infrequent or directly related to an event</w:t>
            </w:r>
          </w:p>
        </w:tc>
        <w:tc>
          <w:tcPr>
            <w:tcW w:w="3680" w:type="dxa"/>
            <w:vAlign w:val="bottom"/>
            <w:tcBorders>
              <w:right w:val="single" w:sz="8" w:color="auto"/>
            </w:tcBorders>
          </w:tcPr>
          <w:p>
            <w:pPr>
              <w:spacing w:after="0" w:line="116" w:lineRule="exact"/>
              <w:rPr>
                <w:sz w:val="20"/>
                <w:szCs w:val="20"/>
                <w:color w:val="auto"/>
              </w:rPr>
            </w:pPr>
            <w:r>
              <w:rPr>
                <w:rFonts w:ascii="Times New Roman" w:cs="Times New Roman" w:eastAsia="Times New Roman" w:hAnsi="Times New Roman"/>
                <w:sz w:val="11"/>
                <w:szCs w:val="11"/>
                <w:color w:val="auto"/>
              </w:rPr>
              <w:t>We exclude these certain items which may be non-recurring, unusual, infrequent</w:t>
            </w:r>
          </w:p>
        </w:tc>
      </w:tr>
      <w:tr>
        <w:trPr>
          <w:trHeight w:val="117"/>
        </w:trPr>
        <w:tc>
          <w:tcPr>
            <w:tcW w:w="1880" w:type="dxa"/>
            <w:vAlign w:val="bottom"/>
            <w:tcBorders>
              <w:left w:val="single" w:sz="8" w:color="auto"/>
              <w:right w:val="single" w:sz="8" w:color="auto"/>
            </w:tcBorders>
          </w:tcPr>
          <w:p>
            <w:pPr>
              <w:spacing w:after="0"/>
              <w:rPr>
                <w:sz w:val="10"/>
                <w:szCs w:val="10"/>
                <w:color w:val="auto"/>
              </w:rPr>
            </w:pPr>
          </w:p>
        </w:tc>
        <w:tc>
          <w:tcPr>
            <w:tcW w:w="57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that is distinct and non-reflective of the Company’s core operating performance. These may include such items as process</w:t>
            </w:r>
          </w:p>
        </w:tc>
        <w:tc>
          <w:tcPr>
            <w:tcW w:w="368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or directly related to an event that is distinct and non-reflective of the</w:t>
            </w:r>
          </w:p>
        </w:tc>
      </w:tr>
      <w:tr>
        <w:trPr>
          <w:trHeight w:val="113"/>
        </w:trPr>
        <w:tc>
          <w:tcPr>
            <w:tcW w:w="1880" w:type="dxa"/>
            <w:vAlign w:val="bottom"/>
            <w:tcBorders>
              <w:left w:val="single" w:sz="8" w:color="auto"/>
              <w:right w:val="single" w:sz="8" w:color="auto"/>
            </w:tcBorders>
          </w:tcPr>
          <w:p>
            <w:pPr>
              <w:spacing w:after="0"/>
              <w:rPr>
                <w:sz w:val="9"/>
                <w:szCs w:val="9"/>
                <w:color w:val="auto"/>
              </w:rPr>
            </w:pPr>
          </w:p>
        </w:tc>
        <w:tc>
          <w:tcPr>
            <w:tcW w:w="5720" w:type="dxa"/>
            <w:vAlign w:val="bottom"/>
            <w:tcBorders>
              <w:right w:val="single" w:sz="8" w:color="auto"/>
            </w:tcBorders>
          </w:tcPr>
          <w:p>
            <w:pPr>
              <w:spacing w:after="0" w:line="113" w:lineRule="exact"/>
              <w:rPr>
                <w:sz w:val="20"/>
                <w:szCs w:val="20"/>
                <w:color w:val="auto"/>
              </w:rPr>
            </w:pPr>
            <w:r>
              <w:rPr>
                <w:rFonts w:ascii="Times New Roman" w:cs="Times New Roman" w:eastAsia="Times New Roman" w:hAnsi="Times New Roman"/>
                <w:sz w:val="11"/>
                <w:szCs w:val="11"/>
                <w:color w:val="auto"/>
              </w:rPr>
              <w:t>and product transfer costs, certain charges related to acquisitions and divestitures, litigation and legal settlements, costs</w:t>
            </w:r>
          </w:p>
        </w:tc>
        <w:tc>
          <w:tcPr>
            <w:tcW w:w="3680" w:type="dxa"/>
            <w:vAlign w:val="bottom"/>
            <w:tcBorders>
              <w:right w:val="single" w:sz="8" w:color="auto"/>
            </w:tcBorders>
          </w:tcPr>
          <w:p>
            <w:pPr>
              <w:spacing w:after="0" w:line="113" w:lineRule="exact"/>
              <w:rPr>
                <w:sz w:val="20"/>
                <w:szCs w:val="20"/>
                <w:color w:val="auto"/>
              </w:rPr>
            </w:pPr>
            <w:r>
              <w:rPr>
                <w:rFonts w:ascii="Times New Roman" w:cs="Times New Roman" w:eastAsia="Times New Roman" w:hAnsi="Times New Roman"/>
                <w:sz w:val="11"/>
                <w:szCs w:val="11"/>
                <w:color w:val="auto"/>
              </w:rPr>
              <w:t>Company’s core operating performance for purposes of calculating certain non-</w:t>
            </w:r>
          </w:p>
        </w:tc>
      </w:tr>
      <w:tr>
        <w:trPr>
          <w:trHeight w:val="110"/>
        </w:trPr>
        <w:tc>
          <w:tcPr>
            <w:tcW w:w="1880" w:type="dxa"/>
            <w:vAlign w:val="bottom"/>
            <w:tcBorders>
              <w:left w:val="single" w:sz="8" w:color="auto"/>
              <w:right w:val="single" w:sz="8" w:color="auto"/>
            </w:tcBorders>
          </w:tcPr>
          <w:p>
            <w:pPr>
              <w:spacing w:after="0"/>
              <w:rPr>
                <w:sz w:val="9"/>
                <w:szCs w:val="9"/>
                <w:color w:val="auto"/>
              </w:rPr>
            </w:pPr>
          </w:p>
        </w:tc>
        <w:tc>
          <w:tcPr>
            <w:tcW w:w="572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1"/>
                <w:szCs w:val="11"/>
                <w:color w:val="auto"/>
              </w:rPr>
              <w:t>associated with the exit of a product line, factory or facility, environmental or governmental settlements, and other items of</w:t>
            </w:r>
          </w:p>
        </w:tc>
        <w:tc>
          <w:tcPr>
            <w:tcW w:w="368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1"/>
                <w:szCs w:val="11"/>
                <w:color w:val="auto"/>
              </w:rPr>
              <w:t>GAAP measures. These adjustments facilitate a useful evaluation of our core</w:t>
            </w:r>
          </w:p>
        </w:tc>
      </w:tr>
      <w:tr>
        <w:trPr>
          <w:trHeight w:val="117"/>
        </w:trPr>
        <w:tc>
          <w:tcPr>
            <w:tcW w:w="1880" w:type="dxa"/>
            <w:vAlign w:val="bottom"/>
            <w:tcBorders>
              <w:left w:val="single" w:sz="8" w:color="auto"/>
              <w:right w:val="single" w:sz="8" w:color="auto"/>
            </w:tcBorders>
          </w:tcPr>
          <w:p>
            <w:pPr>
              <w:spacing w:after="0"/>
              <w:rPr>
                <w:sz w:val="10"/>
                <w:szCs w:val="10"/>
                <w:color w:val="auto"/>
              </w:rPr>
            </w:pPr>
          </w:p>
        </w:tc>
        <w:tc>
          <w:tcPr>
            <w:tcW w:w="572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similar nature.</w:t>
            </w:r>
          </w:p>
        </w:tc>
        <w:tc>
          <w:tcPr>
            <w:tcW w:w="3680" w:type="dxa"/>
            <w:vAlign w:val="bottom"/>
            <w:tcBorders>
              <w:righ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operating performance and comparisons to past operating results and provide</w:t>
            </w:r>
          </w:p>
        </w:tc>
      </w:tr>
      <w:tr>
        <w:trPr>
          <w:trHeight w:val="151"/>
        </w:trPr>
        <w:tc>
          <w:tcPr>
            <w:tcW w:w="1880" w:type="dxa"/>
            <w:vAlign w:val="bottom"/>
            <w:tcBorders>
              <w:left w:val="single" w:sz="8" w:color="auto"/>
              <w:bottom w:val="single" w:sz="8" w:color="auto"/>
              <w:right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investors with additional means to evaluate expense trends.</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4" w:right="31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129"/>
        </w:trPr>
        <w:tc>
          <w:tcPr>
            <w:tcW w:w="1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Non-GAAP Adjustment or</w:t>
            </w:r>
          </w:p>
        </w:tc>
        <w:tc>
          <w:tcPr>
            <w:tcW w:w="57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Definition</w:t>
            </w:r>
          </w:p>
        </w:tc>
        <w:tc>
          <w:tcPr>
            <w:tcW w:w="3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Usefulness to Management and Investors</w:t>
            </w:r>
          </w:p>
        </w:tc>
      </w:tr>
      <w:tr>
        <w:trPr>
          <w:trHeight w:val="153"/>
        </w:trPr>
        <w:tc>
          <w:tcPr>
            <w:tcW w:w="1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Measure</w:t>
            </w:r>
          </w:p>
        </w:tc>
        <w:tc>
          <w:tcPr>
            <w:tcW w:w="5720" w:type="dxa"/>
            <w:vAlign w:val="bottom"/>
            <w:tcBorders>
              <w:bottom w:val="single" w:sz="8" w:color="auto"/>
              <w:right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13"/>
                <w:szCs w:val="13"/>
                <w:color w:val="auto"/>
              </w:rPr>
            </w:pPr>
          </w:p>
        </w:tc>
      </w:tr>
      <w:tr>
        <w:trPr>
          <w:trHeight w:val="115"/>
        </w:trPr>
        <w:tc>
          <w:tcPr>
            <w:tcW w:w="1880" w:type="dxa"/>
            <w:vAlign w:val="bottom"/>
            <w:tcBorders>
              <w:left w:val="single" w:sz="8" w:color="auto"/>
              <w:right w:val="single" w:sz="8" w:color="auto"/>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Non-GAAP Provision for income</w:t>
            </w:r>
          </w:p>
        </w:tc>
        <w:tc>
          <w:tcPr>
            <w:tcW w:w="5720" w:type="dxa"/>
            <w:vAlign w:val="bottom"/>
            <w:tcBorders>
              <w:right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Non-GAAP provision for income taxes is NXP's GAAP provision for income taxes adjusted for the income tax effects of</w:t>
            </w:r>
          </w:p>
        </w:tc>
        <w:tc>
          <w:tcPr>
            <w:tcW w:w="3680" w:type="dxa"/>
            <w:vAlign w:val="bottom"/>
            <w:tcBorders>
              <w:right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The non-GAAP provision for income taxes is used to ascertain and present on a</w:t>
            </w:r>
          </w:p>
        </w:tc>
      </w:tr>
      <w:tr>
        <w:trPr>
          <w:trHeight w:val="113"/>
        </w:trPr>
        <w:tc>
          <w:tcPr>
            <w:tcW w:w="1880" w:type="dxa"/>
            <w:vAlign w:val="bottom"/>
            <w:tcBorders>
              <w:left w:val="single" w:sz="8" w:color="auto"/>
              <w:right w:val="single" w:sz="8" w:color="auto"/>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taxes</w:t>
            </w:r>
          </w:p>
        </w:tc>
        <w:tc>
          <w:tcPr>
            <w:tcW w:w="572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the adjustments to our GAAP measure, including PPA effects, restructuring costs, share-based compensation, other</w:t>
            </w:r>
          </w:p>
        </w:tc>
        <w:tc>
          <w:tcPr>
            <w:tcW w:w="368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comparable basis NXP's provision for income tax after adjustments, the</w:t>
            </w:r>
          </w:p>
        </w:tc>
      </w:tr>
      <w:tr>
        <w:trPr>
          <w:trHeight w:val="110"/>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incidental items and certain other adjustments to financial income (expense) items. Additionally, adjustments are made for</w:t>
            </w:r>
          </w:p>
        </w:tc>
        <w:tc>
          <w:tcPr>
            <w:tcW w:w="3680" w:type="dxa"/>
            <w:vAlign w:val="bottom"/>
            <w:tcBorders>
              <w:right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usefulness of which is described within this table. Additionally, the income tax</w:t>
            </w:r>
          </w:p>
        </w:tc>
      </w:tr>
      <w:tr>
        <w:trPr>
          <w:trHeight w:val="117"/>
        </w:trPr>
        <w:tc>
          <w:tcPr>
            <w:tcW w:w="1880" w:type="dxa"/>
            <w:vAlign w:val="bottom"/>
            <w:tcBorders>
              <w:left w:val="single" w:sz="8" w:color="auto"/>
              <w:right w:val="single" w:sz="8" w:color="auto"/>
            </w:tcBorders>
            <w:shd w:val="clear" w:color="auto" w:fill="CCEEFF"/>
          </w:tcPr>
          <w:p>
            <w:pPr>
              <w:spacing w:after="0"/>
              <w:rPr>
                <w:sz w:val="10"/>
                <w:szCs w:val="10"/>
                <w:color w:val="auto"/>
              </w:rPr>
            </w:pPr>
          </w:p>
        </w:tc>
        <w:tc>
          <w:tcPr>
            <w:tcW w:w="572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the income tax effect of any discrete items that occur in the interim period. Discrete items primarily relate to unexpected</w:t>
            </w:r>
          </w:p>
        </w:tc>
        <w:tc>
          <w:tcPr>
            <w:tcW w:w="368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effects of the adjustments to achieve the noted non-GAAP measures are used to</w:t>
            </w:r>
          </w:p>
        </w:tc>
      </w:tr>
      <w:tr>
        <w:trPr>
          <w:trHeight w:val="113"/>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tax events that may occur as these amounts cannot be forecasted (e.g., the impact of changes in tax law and/or rates,</w:t>
            </w:r>
          </w:p>
        </w:tc>
        <w:tc>
          <w:tcPr>
            <w:tcW w:w="368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determine NXP's non-GAAP net income (loss) attributable to stockholders and</w:t>
            </w:r>
          </w:p>
        </w:tc>
      </w:tr>
      <w:tr>
        <w:trPr>
          <w:trHeight w:val="110"/>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changes in estimates or resolved tax audits relating to prior year tax provisions, the excess or deficit tax effects on share-</w:t>
            </w:r>
          </w:p>
        </w:tc>
        <w:tc>
          <w:tcPr>
            <w:tcW w:w="3680" w:type="dxa"/>
            <w:vAlign w:val="bottom"/>
            <w:tcBorders>
              <w:right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accordingly, our diluted non-GAAP earnings per share attributable to</w:t>
            </w:r>
          </w:p>
        </w:tc>
      </w:tr>
      <w:tr>
        <w:trPr>
          <w:trHeight w:val="156"/>
        </w:trPr>
        <w:tc>
          <w:tcPr>
            <w:tcW w:w="18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5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based compensation, etc.).</w:t>
            </w:r>
          </w:p>
        </w:tc>
        <w:tc>
          <w:tcPr>
            <w:tcW w:w="36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stockholders.</w:t>
            </w:r>
          </w:p>
        </w:tc>
      </w:tr>
      <w:tr>
        <w:trPr>
          <w:trHeight w:val="121"/>
        </w:trPr>
        <w:tc>
          <w:tcPr>
            <w:tcW w:w="1880" w:type="dxa"/>
            <w:vAlign w:val="bottom"/>
            <w:tcBorders>
              <w:left w:val="single" w:sz="8" w:color="auto"/>
              <w:right w:val="single" w:sz="8" w:color="auto"/>
            </w:tcBorders>
          </w:tcPr>
          <w:p>
            <w:pPr>
              <w:ind w:left="20"/>
              <w:spacing w:after="0" w:line="121" w:lineRule="exact"/>
              <w:rPr>
                <w:sz w:val="20"/>
                <w:szCs w:val="20"/>
                <w:color w:val="auto"/>
              </w:rPr>
            </w:pPr>
            <w:r>
              <w:rPr>
                <w:rFonts w:ascii="Times New Roman" w:cs="Times New Roman" w:eastAsia="Times New Roman" w:hAnsi="Times New Roman"/>
                <w:sz w:val="11"/>
                <w:szCs w:val="11"/>
                <w:color w:val="auto"/>
              </w:rPr>
              <w:t>Free Cash Flow</w:t>
            </w:r>
          </w:p>
        </w:tc>
        <w:tc>
          <w:tcPr>
            <w:tcW w:w="5720" w:type="dxa"/>
            <w:vAlign w:val="bottom"/>
            <w:tcBorders>
              <w:right w:val="single" w:sz="8" w:color="auto"/>
            </w:tcBorders>
          </w:tcPr>
          <w:p>
            <w:pPr>
              <w:spacing w:after="0" w:line="121" w:lineRule="exact"/>
              <w:rPr>
                <w:sz w:val="20"/>
                <w:szCs w:val="20"/>
                <w:color w:val="auto"/>
              </w:rPr>
            </w:pPr>
            <w:r>
              <w:rPr>
                <w:rFonts w:ascii="Times New Roman" w:cs="Times New Roman" w:eastAsia="Times New Roman" w:hAnsi="Times New Roman"/>
                <w:sz w:val="11"/>
                <w:szCs w:val="11"/>
                <w:color w:val="auto"/>
              </w:rPr>
              <w:t>Free Cash Flow represents operating cash flow adjusted for net additions to property, plant and equipment.</w:t>
            </w:r>
          </w:p>
        </w:tc>
        <w:tc>
          <w:tcPr>
            <w:tcW w:w="3680" w:type="dxa"/>
            <w:vAlign w:val="bottom"/>
            <w:tcBorders>
              <w:right w:val="single" w:sz="8" w:color="auto"/>
            </w:tcBorders>
          </w:tcPr>
          <w:p>
            <w:pPr>
              <w:spacing w:after="0" w:line="121" w:lineRule="exact"/>
              <w:rPr>
                <w:sz w:val="20"/>
                <w:szCs w:val="20"/>
                <w:color w:val="auto"/>
              </w:rPr>
            </w:pPr>
            <w:r>
              <w:rPr>
                <w:rFonts w:ascii="Times New Roman" w:cs="Times New Roman" w:eastAsia="Times New Roman" w:hAnsi="Times New Roman"/>
                <w:sz w:val="11"/>
                <w:szCs w:val="11"/>
                <w:color w:val="auto"/>
              </w:rPr>
              <w:t>We believe that free cash flow provides insight into our cash-generating</w:t>
            </w:r>
          </w:p>
        </w:tc>
      </w:tr>
      <w:tr>
        <w:trPr>
          <w:trHeight w:val="113"/>
        </w:trPr>
        <w:tc>
          <w:tcPr>
            <w:tcW w:w="1880" w:type="dxa"/>
            <w:vAlign w:val="bottom"/>
            <w:tcBorders>
              <w:left w:val="single" w:sz="8" w:color="auto"/>
              <w:right w:val="single" w:sz="8" w:color="auto"/>
            </w:tcBorders>
          </w:tcPr>
          <w:p>
            <w:pPr>
              <w:spacing w:after="0"/>
              <w:rPr>
                <w:sz w:val="9"/>
                <w:szCs w:val="9"/>
                <w:color w:val="auto"/>
              </w:rPr>
            </w:pPr>
          </w:p>
        </w:tc>
        <w:tc>
          <w:tcPr>
            <w:tcW w:w="5720" w:type="dxa"/>
            <w:vAlign w:val="bottom"/>
            <w:tcBorders>
              <w:right w:val="single" w:sz="8" w:color="auto"/>
            </w:tcBorders>
          </w:tcPr>
          <w:p>
            <w:pPr>
              <w:spacing w:after="0"/>
              <w:rPr>
                <w:sz w:val="9"/>
                <w:szCs w:val="9"/>
                <w:color w:val="auto"/>
              </w:rPr>
            </w:pPr>
          </w:p>
        </w:tc>
        <w:tc>
          <w:tcPr>
            <w:tcW w:w="3680" w:type="dxa"/>
            <w:vAlign w:val="bottom"/>
            <w:tcBorders>
              <w:right w:val="single" w:sz="8" w:color="auto"/>
            </w:tcBorders>
          </w:tcPr>
          <w:p>
            <w:pPr>
              <w:spacing w:after="0" w:line="113" w:lineRule="exact"/>
              <w:rPr>
                <w:sz w:val="20"/>
                <w:szCs w:val="20"/>
                <w:color w:val="auto"/>
              </w:rPr>
            </w:pPr>
            <w:r>
              <w:rPr>
                <w:rFonts w:ascii="Times New Roman" w:cs="Times New Roman" w:eastAsia="Times New Roman" w:hAnsi="Times New Roman"/>
                <w:sz w:val="11"/>
                <w:szCs w:val="11"/>
                <w:color w:val="auto"/>
              </w:rPr>
              <w:t>capability and our financial performance and is an efficient means by which</w:t>
            </w:r>
          </w:p>
        </w:tc>
      </w:tr>
      <w:tr>
        <w:trPr>
          <w:trHeight w:val="110"/>
        </w:trPr>
        <w:tc>
          <w:tcPr>
            <w:tcW w:w="1880" w:type="dxa"/>
            <w:vAlign w:val="bottom"/>
            <w:tcBorders>
              <w:left w:val="single" w:sz="8" w:color="auto"/>
              <w:right w:val="single" w:sz="8" w:color="auto"/>
            </w:tcBorders>
          </w:tcPr>
          <w:p>
            <w:pPr>
              <w:spacing w:after="0"/>
              <w:rPr>
                <w:sz w:val="9"/>
                <w:szCs w:val="9"/>
                <w:color w:val="auto"/>
              </w:rPr>
            </w:pPr>
          </w:p>
        </w:tc>
        <w:tc>
          <w:tcPr>
            <w:tcW w:w="5720" w:type="dxa"/>
            <w:vAlign w:val="bottom"/>
            <w:tcBorders>
              <w:right w:val="single" w:sz="8" w:color="auto"/>
            </w:tcBorders>
          </w:tcPr>
          <w:p>
            <w:pPr>
              <w:spacing w:after="0"/>
              <w:rPr>
                <w:sz w:val="9"/>
                <w:szCs w:val="9"/>
                <w:color w:val="auto"/>
              </w:rPr>
            </w:pPr>
          </w:p>
        </w:tc>
        <w:tc>
          <w:tcPr>
            <w:tcW w:w="368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1"/>
                <w:szCs w:val="11"/>
                <w:color w:val="auto"/>
              </w:rPr>
              <w:t>users of our financial statements can evaluate our cash flow after meeting our</w:t>
            </w:r>
          </w:p>
        </w:tc>
      </w:tr>
      <w:tr>
        <w:trPr>
          <w:trHeight w:val="156"/>
        </w:trPr>
        <w:tc>
          <w:tcPr>
            <w:tcW w:w="1880" w:type="dxa"/>
            <w:vAlign w:val="bottom"/>
            <w:tcBorders>
              <w:left w:val="single" w:sz="8" w:color="auto"/>
              <w:right w:val="single" w:sz="8" w:color="auto"/>
            </w:tcBorders>
          </w:tcPr>
          <w:p>
            <w:pPr>
              <w:spacing w:after="0"/>
              <w:rPr>
                <w:sz w:val="13"/>
                <w:szCs w:val="13"/>
                <w:color w:val="auto"/>
              </w:rPr>
            </w:pPr>
          </w:p>
        </w:tc>
        <w:tc>
          <w:tcPr>
            <w:tcW w:w="5720" w:type="dxa"/>
            <w:vAlign w:val="bottom"/>
            <w:tcBorders>
              <w:right w:val="single" w:sz="8" w:color="auto"/>
            </w:tcBorders>
          </w:tcPr>
          <w:p>
            <w:pPr>
              <w:spacing w:after="0"/>
              <w:rPr>
                <w:sz w:val="13"/>
                <w:szCs w:val="13"/>
                <w:color w:val="auto"/>
              </w:rPr>
            </w:pP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capital expenditure.</w:t>
            </w:r>
          </w:p>
        </w:tc>
      </w:tr>
      <w:tr>
        <w:trPr>
          <w:trHeight w:val="130"/>
        </w:trPr>
        <w:tc>
          <w:tcPr>
            <w:tcW w:w="1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debt</w:t>
            </w:r>
          </w:p>
        </w:tc>
        <w:tc>
          <w:tcPr>
            <w:tcW w:w="57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debt represents total debt (short-term and long-term) after deduction of cash and cash equivalents and short-term</w:t>
            </w:r>
          </w:p>
        </w:tc>
        <w:tc>
          <w:tcPr>
            <w:tcW w:w="36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We believe this measure provides investors with useful supplemental</w:t>
            </w:r>
          </w:p>
        </w:tc>
      </w:tr>
      <w:tr>
        <w:trPr>
          <w:trHeight w:val="113"/>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deposits.</w:t>
            </w:r>
          </w:p>
        </w:tc>
        <w:tc>
          <w:tcPr>
            <w:tcW w:w="368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information about the financial performance of our business, enables</w:t>
            </w:r>
          </w:p>
        </w:tc>
      </w:tr>
      <w:tr>
        <w:trPr>
          <w:trHeight w:val="110"/>
        </w:trPr>
        <w:tc>
          <w:tcPr>
            <w:tcW w:w="1880" w:type="dxa"/>
            <w:vAlign w:val="bottom"/>
            <w:tcBorders>
              <w:left w:val="single" w:sz="8" w:color="auto"/>
              <w:right w:val="single" w:sz="8" w:color="auto"/>
            </w:tcBorders>
            <w:shd w:val="clear" w:color="auto" w:fill="CCEEFF"/>
          </w:tcPr>
          <w:p>
            <w:pPr>
              <w:spacing w:after="0"/>
              <w:rPr>
                <w:sz w:val="9"/>
                <w:szCs w:val="9"/>
                <w:color w:val="auto"/>
              </w:rPr>
            </w:pPr>
          </w:p>
        </w:tc>
        <w:tc>
          <w:tcPr>
            <w:tcW w:w="5720" w:type="dxa"/>
            <w:vAlign w:val="bottom"/>
            <w:tcBorders>
              <w:right w:val="single" w:sz="8" w:color="auto"/>
            </w:tcBorders>
            <w:shd w:val="clear" w:color="auto" w:fill="CCEEFF"/>
          </w:tcPr>
          <w:p>
            <w:pPr>
              <w:spacing w:after="0"/>
              <w:rPr>
                <w:sz w:val="9"/>
                <w:szCs w:val="9"/>
                <w:color w:val="auto"/>
              </w:rPr>
            </w:pPr>
          </w:p>
        </w:tc>
        <w:tc>
          <w:tcPr>
            <w:tcW w:w="3680" w:type="dxa"/>
            <w:vAlign w:val="bottom"/>
            <w:tcBorders>
              <w:right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comparison of financial results between periods where certain items may vary</w:t>
            </w:r>
          </w:p>
        </w:tc>
      </w:tr>
      <w:tr>
        <w:trPr>
          <w:trHeight w:val="117"/>
        </w:trPr>
        <w:tc>
          <w:tcPr>
            <w:tcW w:w="1880" w:type="dxa"/>
            <w:vAlign w:val="bottom"/>
            <w:tcBorders>
              <w:left w:val="single" w:sz="8" w:color="auto"/>
              <w:right w:val="single" w:sz="8" w:color="auto"/>
            </w:tcBorders>
            <w:shd w:val="clear" w:color="auto" w:fill="CCEEFF"/>
          </w:tcPr>
          <w:p>
            <w:pPr>
              <w:spacing w:after="0"/>
              <w:rPr>
                <w:sz w:val="10"/>
                <w:szCs w:val="10"/>
                <w:color w:val="auto"/>
              </w:rPr>
            </w:pPr>
          </w:p>
        </w:tc>
        <w:tc>
          <w:tcPr>
            <w:tcW w:w="5720" w:type="dxa"/>
            <w:vAlign w:val="bottom"/>
            <w:tcBorders>
              <w:right w:val="single" w:sz="8" w:color="auto"/>
            </w:tcBorders>
            <w:shd w:val="clear" w:color="auto" w:fill="CCEEFF"/>
          </w:tcPr>
          <w:p>
            <w:pPr>
              <w:spacing w:after="0"/>
              <w:rPr>
                <w:sz w:val="10"/>
                <w:szCs w:val="10"/>
                <w:color w:val="auto"/>
              </w:rPr>
            </w:pPr>
          </w:p>
        </w:tc>
        <w:tc>
          <w:tcPr>
            <w:tcW w:w="3680" w:type="dxa"/>
            <w:vAlign w:val="bottom"/>
            <w:tcBorders>
              <w:right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independent of business performance, and allow for greater transparency with</w:t>
            </w:r>
          </w:p>
        </w:tc>
      </w:tr>
      <w:tr>
        <w:trPr>
          <w:trHeight w:val="151"/>
        </w:trPr>
        <w:tc>
          <w:tcPr>
            <w:tcW w:w="18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5720" w:type="dxa"/>
            <w:vAlign w:val="bottom"/>
            <w:tcBorders>
              <w:bottom w:val="single" w:sz="8" w:color="auto"/>
              <w:right w:val="single" w:sz="8" w:color="auto"/>
            </w:tcBorders>
            <w:shd w:val="clear" w:color="auto" w:fill="CCEEFF"/>
          </w:tcPr>
          <w:p>
            <w:pPr>
              <w:spacing w:after="0"/>
              <w:rPr>
                <w:sz w:val="13"/>
                <w:szCs w:val="13"/>
                <w:color w:val="auto"/>
              </w:rPr>
            </w:pPr>
          </w:p>
        </w:tc>
        <w:tc>
          <w:tcPr>
            <w:tcW w:w="36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respect of calculating our net leverage.</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are reconciliations of our most comparable US GAAP measures to our non-GAAP measures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0269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6910" cy="698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r>
      <w:tr>
        <w:trPr>
          <w:trHeight w:val="17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12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June 28, 2026</w:t>
            </w:r>
          </w:p>
        </w:tc>
        <w:tc>
          <w:tcPr>
            <w:tcW w:w="220" w:type="dxa"/>
            <w:vAlign w:val="bottom"/>
          </w:tcPr>
          <w:p>
            <w:pPr>
              <w:spacing w:after="0"/>
              <w:rPr>
                <w:sz w:val="14"/>
                <w:szCs w:val="14"/>
                <w:color w:val="auto"/>
              </w:rPr>
            </w:pPr>
          </w:p>
        </w:tc>
        <w:tc>
          <w:tcPr>
            <w:tcW w:w="162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GAAP gross profit</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2,189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2,002</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1,787</w:t>
            </w:r>
          </w:p>
        </w:tc>
      </w:tr>
      <w:tr>
        <w:trPr>
          <w:trHeight w:val="178"/>
        </w:trPr>
        <w:tc>
          <w:tcPr>
            <w:tcW w:w="5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PPA effects</w:t>
            </w:r>
          </w:p>
        </w:tc>
        <w:tc>
          <w:tcPr>
            <w:tcW w:w="240" w:type="dxa"/>
            <w:vAlign w:val="bottom"/>
          </w:tcPr>
          <w:p>
            <w:pPr>
              <w:spacing w:after="0"/>
              <w:rPr>
                <w:sz w:val="15"/>
                <w:szCs w:val="15"/>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r>
      <w:tr>
        <w:trPr>
          <w:trHeight w:val="18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Restructuring</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5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Share-based compensation</w:t>
            </w:r>
          </w:p>
        </w:tc>
        <w:tc>
          <w:tcPr>
            <w:tcW w:w="240" w:type="dxa"/>
            <w:vAlign w:val="bottom"/>
          </w:tcPr>
          <w:p>
            <w:pPr>
              <w:spacing w:after="0"/>
              <w:rPr>
                <w:sz w:val="15"/>
                <w:szCs w:val="15"/>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r>
      <w:tr>
        <w:trPr>
          <w:trHeight w:val="18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incidentals</w:t>
            </w:r>
          </w:p>
        </w:tc>
        <w:tc>
          <w:tcPr>
            <w:tcW w:w="2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71"/>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Non-GAAP gross profit</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2,217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1,810</w:t>
            </w:r>
          </w:p>
        </w:tc>
      </w:tr>
      <w:tr>
        <w:trPr>
          <w:trHeight w:val="17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GAAP Gross Margin</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57.8 %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57.3 %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56.3 %</w:t>
            </w:r>
          </w:p>
        </w:tc>
      </w:tr>
      <w:tr>
        <w:trPr>
          <w:trHeight w:val="178"/>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Non-GAAP Gross Margin</w:t>
            </w: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58.6 %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58.0 %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57.0 %</w:t>
            </w:r>
          </w:p>
        </w:tc>
      </w:tr>
      <w:tr>
        <w:trPr>
          <w:trHeight w:val="18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GAAP research and development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(575)</w:t>
            </w:r>
          </w:p>
        </w:tc>
      </w:tr>
      <w:tr>
        <w:trPr>
          <w:trHeight w:val="178"/>
        </w:trPr>
        <w:tc>
          <w:tcPr>
            <w:tcW w:w="5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Restructuring</w:t>
            </w:r>
          </w:p>
        </w:tc>
        <w:tc>
          <w:tcPr>
            <w:tcW w:w="240" w:type="dxa"/>
            <w:vAlign w:val="bottom"/>
          </w:tcPr>
          <w:p>
            <w:pPr>
              <w:spacing w:after="0"/>
              <w:rPr>
                <w:sz w:val="15"/>
                <w:szCs w:val="15"/>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r>
      <w:tr>
        <w:trPr>
          <w:trHeight w:val="18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(57)</w:t>
            </w:r>
          </w:p>
        </w:tc>
      </w:tr>
      <w:tr>
        <w:trPr>
          <w:trHeight w:val="178"/>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incidentals</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7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research and development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(515)</w:t>
            </w:r>
          </w:p>
        </w:tc>
      </w:tr>
      <w:tr>
        <w:trPr>
          <w:trHeight w:val="171"/>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GAAP selling, general and administrative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(286)</w:t>
            </w:r>
          </w:p>
        </w:tc>
      </w:tr>
      <w:tr>
        <w:trPr>
          <w:trHeight w:val="18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PPA effects</w:t>
            </w:r>
          </w:p>
        </w:tc>
        <w:tc>
          <w:tcPr>
            <w:tcW w:w="2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r>
      <w:tr>
        <w:trPr>
          <w:trHeight w:val="178"/>
        </w:trPr>
        <w:tc>
          <w:tcPr>
            <w:tcW w:w="5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Restructuring</w:t>
            </w:r>
          </w:p>
        </w:tc>
        <w:tc>
          <w:tcPr>
            <w:tcW w:w="240" w:type="dxa"/>
            <w:vAlign w:val="bottom"/>
          </w:tcPr>
          <w:p>
            <w:pPr>
              <w:spacing w:after="0"/>
              <w:rPr>
                <w:sz w:val="15"/>
                <w:szCs w:val="15"/>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8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(46)</w:t>
            </w:r>
          </w:p>
        </w:tc>
      </w:tr>
      <w:tr>
        <w:trPr>
          <w:trHeight w:val="178"/>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incidentals</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r>
      <w:tr>
        <w:trPr>
          <w:trHeight w:val="17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selling, general and administrative</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(223)</w:t>
            </w:r>
          </w:p>
        </w:tc>
      </w:tr>
      <w:tr>
        <w:trPr>
          <w:trHeight w:val="171"/>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GAAP operating income (loss)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1,228</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1,071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893</w:t>
            </w:r>
          </w:p>
        </w:tc>
      </w:tr>
      <w:tr>
        <w:trPr>
          <w:trHeight w:val="99"/>
        </w:trPr>
        <w:tc>
          <w:tcPr>
            <w:tcW w:w="542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6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7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620" w:type="dxa"/>
            <w:vAlign w:val="bottom"/>
            <w:tcBorders>
              <w:bottom w:val="single" w:sz="8" w:color="auto"/>
            </w:tcBorders>
            <w:shd w:val="clear" w:color="auto" w:fill="CCEEFF"/>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5"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71"/>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June 28, 2026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84"/>
        </w:trPr>
        <w:tc>
          <w:tcPr>
            <w:tcW w:w="5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18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GAAP operating income (loss)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1,228</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1,071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893</w:t>
            </w:r>
          </w:p>
        </w:tc>
      </w:tr>
      <w:tr>
        <w:trPr>
          <w:trHeight w:val="178"/>
        </w:trPr>
        <w:tc>
          <w:tcPr>
            <w:tcW w:w="5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PPA effects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(38)</w:t>
            </w:r>
          </w:p>
        </w:tc>
      </w:tr>
      <w:tr>
        <w:trPr>
          <w:trHeight w:val="18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Restructuring</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r>
      <w:tr>
        <w:trPr>
          <w:trHeight w:val="178"/>
        </w:trPr>
        <w:tc>
          <w:tcPr>
            <w:tcW w:w="5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Share-based compensation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(118)</w:t>
            </w:r>
          </w:p>
        </w:tc>
      </w:tr>
      <w:tr>
        <w:trPr>
          <w:trHeight w:val="18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incidentals</w:t>
            </w:r>
          </w:p>
        </w:tc>
        <w:tc>
          <w:tcPr>
            <w:tcW w:w="2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r>
      <w:tr>
        <w:trPr>
          <w:trHeight w:val="171"/>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Non-GAAP operating income (loss)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1,406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1,228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1,071</w:t>
            </w:r>
          </w:p>
        </w:tc>
      </w:tr>
      <w:tr>
        <w:trPr>
          <w:trHeight w:val="17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GAAP Operating Margin</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32.4 %</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30.6 %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28.1 %</w:t>
            </w:r>
          </w:p>
        </w:tc>
      </w:tr>
      <w:tr>
        <w:trPr>
          <w:trHeight w:val="178"/>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Non-GAAP Operating Margin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37.1 %</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35.1 %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33.8 %</w:t>
            </w:r>
          </w:p>
        </w:tc>
      </w:tr>
      <w:tr>
        <w:trPr>
          <w:trHeight w:val="18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GAAP Income tax benefit (provision)</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(228)</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(148)</w:t>
            </w:r>
          </w:p>
        </w:tc>
      </w:tr>
      <w:tr>
        <w:trPr>
          <w:trHeight w:val="178"/>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tax effect</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25</w:t>
            </w:r>
          </w:p>
        </w:tc>
      </w:tr>
      <w:tr>
        <w:trPr>
          <w:trHeight w:val="17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Non-GAAP Income tax benefit (provision)</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(237)</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(205)</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(173)</w:t>
            </w:r>
          </w:p>
        </w:tc>
      </w:tr>
      <w:tr>
        <w:trPr>
          <w:trHeight w:val="99"/>
        </w:trPr>
        <w:tc>
          <w:tcPr>
            <w:tcW w:w="5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r>
        <w:trPr>
          <w:trHeight w:val="468"/>
        </w:trPr>
        <w:tc>
          <w:tcPr>
            <w:tcW w:w="5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69"/>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For the three months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June 28, 2026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for) operating activities</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860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585</w:t>
            </w:r>
          </w:p>
        </w:tc>
      </w:tr>
      <w:tr>
        <w:trPr>
          <w:trHeight w:val="178"/>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capital expenditures on property, plant and equipment</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7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Non-GAAP free cash flow</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791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509</w:t>
            </w:r>
          </w:p>
        </w:tc>
      </w:tr>
      <w:tr>
        <w:trPr>
          <w:trHeight w:val="99"/>
        </w:trPr>
        <w:tc>
          <w:tcPr>
            <w:tcW w:w="5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5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58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580" w:type="dxa"/>
            <w:vAlign w:val="bottom"/>
            <w:tcBorders>
              <w:top w:val="single" w:sz="8" w:color="auto"/>
              <w:bottom w:val="single" w:sz="8" w:color="auto"/>
            </w:tcBorders>
          </w:tcPr>
          <w:p>
            <w:pPr>
              <w:spacing w:after="0"/>
              <w:rPr>
                <w:sz w:val="8"/>
                <w:szCs w:val="8"/>
                <w:color w:val="auto"/>
              </w:rPr>
            </w:pPr>
          </w:p>
        </w:tc>
      </w:tr>
      <w:tr>
        <w:trPr>
          <w:trHeight w:val="266"/>
        </w:trPr>
        <w:tc>
          <w:tcPr>
            <w:tcW w:w="54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2"/>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r>
      <w:tr>
        <w:trPr>
          <w:trHeight w:val="169"/>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For the three months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September 27, 2026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June 28, 2026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September 28, 2025</w:t>
            </w:r>
          </w:p>
        </w:tc>
      </w:tr>
      <w:tr>
        <w:trPr>
          <w:trHeight w:val="17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Long-term debt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9,977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10,971</w:t>
            </w:r>
          </w:p>
        </w:tc>
      </w:tr>
      <w:tr>
        <w:trPr>
          <w:trHeight w:val="178"/>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Short-term debt</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999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1,264</w:t>
            </w:r>
          </w:p>
        </w:tc>
      </w:tr>
      <w:tr>
        <w:trPr>
          <w:trHeight w:val="17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debt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10,976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12,235</w:t>
            </w:r>
          </w:p>
        </w:tc>
      </w:tr>
      <w:tr>
        <w:trPr>
          <w:trHeight w:val="178"/>
        </w:trPr>
        <w:tc>
          <w:tcPr>
            <w:tcW w:w="5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Less: cash and cash equivalents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(3,454)</w:t>
            </w:r>
          </w:p>
        </w:tc>
      </w:tr>
      <w:tr>
        <w:trPr>
          <w:trHeight w:val="18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Less: short-term deposits</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71"/>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debt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7,035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7,754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8,281</w:t>
            </w:r>
          </w:p>
        </w:tc>
      </w:tr>
      <w:tr>
        <w:trPr>
          <w:trHeight w:val="99"/>
        </w:trPr>
        <w:tc>
          <w:tcPr>
            <w:tcW w:w="5420" w:type="dxa"/>
            <w:vAlign w:val="bottom"/>
            <w:tcBorders>
              <w:top w:val="single" w:sz="8" w:color="CCEEFF"/>
              <w:bottom w:val="single" w:sz="8" w:color="auto"/>
            </w:tcBorders>
            <w:shd w:val="clear" w:color="auto" w:fill="CCEEFF"/>
          </w:tcPr>
          <w:p>
            <w:pPr>
              <w:spacing w:after="0"/>
              <w:rPr>
                <w:sz w:val="8"/>
                <w:szCs w:val="8"/>
                <w:color w:val="auto"/>
              </w:rPr>
            </w:pPr>
          </w:p>
        </w:tc>
        <w:tc>
          <w:tcPr>
            <w:tcW w:w="22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rPr>
                <w:sz w:val="8"/>
                <w:szCs w:val="8"/>
                <w:color w:val="auto"/>
              </w:rPr>
            </w:pPr>
          </w:p>
        </w:tc>
        <w:tc>
          <w:tcPr>
            <w:tcW w:w="1500" w:type="dxa"/>
            <w:vAlign w:val="bottom"/>
            <w:tcBorders>
              <w:top w:val="single" w:sz="8" w:color="auto"/>
              <w:bottom w:val="single" w:sz="8" w:color="auto"/>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spacing w:after="0"/>
              <w:rPr>
                <w:sz w:val="8"/>
                <w:szCs w:val="8"/>
                <w:color w:val="auto"/>
              </w:rPr>
            </w:pPr>
          </w:p>
        </w:tc>
        <w:tc>
          <w:tcPr>
            <w:tcW w:w="80" w:type="dxa"/>
            <w:vAlign w:val="bottom"/>
            <w:tcBorders>
              <w:top w:val="single" w:sz="8" w:color="CCEEFF"/>
              <w:bottom w:val="single" w:sz="8" w:color="auto"/>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spacing w:after="0"/>
              <w:rPr>
                <w:sz w:val="8"/>
                <w:szCs w:val="8"/>
                <w:color w:val="auto"/>
              </w:rPr>
            </w:pPr>
          </w:p>
        </w:tc>
        <w:tc>
          <w:tcPr>
            <w:tcW w:w="1580" w:type="dxa"/>
            <w:vAlign w:val="bottom"/>
            <w:tcBorders>
              <w:top w:val="single" w:sz="8" w:color="auto"/>
              <w:bottom w:val="single" w:sz="8" w:color="auto"/>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spacing w:after="0"/>
              <w:rPr>
                <w:sz w:val="8"/>
                <w:szCs w:val="8"/>
                <w:color w:val="auto"/>
              </w:rPr>
            </w:pPr>
          </w:p>
        </w:tc>
        <w:tc>
          <w:tcPr>
            <w:tcW w:w="80" w:type="dxa"/>
            <w:vAlign w:val="bottom"/>
            <w:tcBorders>
              <w:top w:val="single" w:sz="8" w:color="CCEEFF"/>
              <w:bottom w:val="single" w:sz="8" w:color="auto"/>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spacing w:after="0"/>
              <w:rPr>
                <w:sz w:val="8"/>
                <w:szCs w:val="8"/>
                <w:color w:val="auto"/>
              </w:rPr>
            </w:pPr>
          </w:p>
        </w:tc>
        <w:tc>
          <w:tcPr>
            <w:tcW w:w="1580" w:type="dxa"/>
            <w:vAlign w:val="bottom"/>
            <w:tcBorders>
              <w:top w:val="single" w:sz="8" w:color="auto"/>
              <w:bottom w:val="single" w:sz="8" w:color="auto"/>
            </w:tcBorders>
            <w:shd w:val="clear" w:color="auto" w:fill="CCEEFF"/>
          </w:tcPr>
          <w:p>
            <w:pPr>
              <w:spacing w:after="0"/>
              <w:rPr>
                <w:sz w:val="8"/>
                <w:szCs w:val="8"/>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587375</wp:posOffset>
            </wp:positionV>
            <wp:extent cx="702691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6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944" w:right="519" w:bottom="1440" w:gutter="0" w:footer="0" w:header="0"/>
        </w:sectPr>
      </w:pPr>
    </w:p>
    <w:bookmarkStart w:id="40" w:name="page41"/>
    <w:bookmarkEnd w:id="40"/>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to the Company’s market risk during the first nine months of 2026. For a discussion of the Company’s exposure to market risk, refer to the Company’s market risk disclosures set forth in Part II, Item 7A, “Quantitative and Qualitative Disclosures About Market Risk” in our Annual Report on Form 10-K for the year ended December 31, 2025.</w:t>
      </w:r>
    </w:p>
    <w:p>
      <w:pPr>
        <w:spacing w:after="0" w:line="200" w:lineRule="exact"/>
        <w:rPr>
          <w:sz w:val="20"/>
          <w:szCs w:val="20"/>
          <w:color w:val="auto"/>
        </w:rPr>
      </w:pPr>
    </w:p>
    <w:p>
      <w:pPr>
        <w:spacing w:after="0" w:line="3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19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Our management, with the participation of the Chief Executive Officer and Chief Financial Officer (Certifying Officers), evaluated the effectiveness of the Company's disclosure controls and procedures (as defined in Rules 13a-15(e) or 15d-15(e) promulgated under the Securities Exchange Act of 1934, as amended) on September 27, 2026. Based on that evaluation, the Certifying Officers concluded the Company's disclosure controls and procedures were effective as of September 27,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during the three months ended September 27, 2026,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4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from the risk factors previously disclosed in our Annual Report on Form 10-K for the year ended December 31, 2025.</w:t>
      </w:r>
    </w:p>
    <w:p>
      <w:pPr>
        <w:spacing w:after="0" w:line="39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191"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4"/>
          <w:szCs w:val="14"/>
          <w:color w:val="auto"/>
        </w:rPr>
        <w:t>Our Board has approved the purchase of shares from participants in NXP's equity programs to satisfy participants' tax withholding obligations and this authorization will remain in effect until terminated by the Board. In August 2024, the Board approved the repurchase of shares up to a maximum of $2 billion (the "2024 Share Repurchase Program"). At September 27, 2026, there was approximately $1.3 billion remaining under the 2024 Share Repurchase Program. On October 12, 2026, the Board approved the repurchase of shares up to a maximum of $5 billion under the 2026 Share Repurchase Program, in addition to the 2024 Share Repurchase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 xml:space="preserve">The following share repurchase activity occurred under these programs </w:t>
      </w:r>
      <w:r>
        <w:rPr>
          <w:rFonts w:ascii="Times New Roman" w:cs="Times New Roman" w:eastAsia="Times New Roman" w:hAnsi="Times New Roman"/>
          <w:sz w:val="14"/>
          <w:szCs w:val="14"/>
          <w:color w:val="000000"/>
        </w:rPr>
        <w:t>during the three months ended September 27, 2026: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333333"/>
                <w:w w:val="98"/>
              </w:rPr>
              <w:t>Total Number</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333333"/>
                <w:w w:val="99"/>
              </w:rPr>
              <w:t>Number of Shares</w:t>
            </w: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color w:val="333333"/>
                <w:w w:val="98"/>
              </w:rPr>
              <w:t>Maximum Number of</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333333"/>
                <w:w w:val="97"/>
              </w:rPr>
              <w:t>Number of Shares</w:t>
            </w:r>
          </w:p>
        </w:tc>
        <w:tc>
          <w:tcPr>
            <w:tcW w:w="0" w:type="dxa"/>
            <w:vAlign w:val="bottom"/>
          </w:tcPr>
          <w:p>
            <w:pPr>
              <w:spacing w:after="0"/>
              <w:rPr>
                <w:sz w:val="1"/>
                <w:szCs w:val="1"/>
                <w:color w:val="auto"/>
              </w:rPr>
            </w:pPr>
          </w:p>
        </w:tc>
      </w:tr>
      <w:tr>
        <w:trPr>
          <w:trHeight w:val="127"/>
        </w:trPr>
        <w:tc>
          <w:tcPr>
            <w:tcW w:w="40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333333"/>
              </w:rPr>
              <w:t>Average Price</w:t>
            </w:r>
          </w:p>
        </w:tc>
        <w:tc>
          <w:tcPr>
            <w:tcW w:w="15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333333"/>
                <w:w w:val="96"/>
              </w:rPr>
              <w:t>Purchased as Part of</w:t>
            </w:r>
          </w:p>
        </w:tc>
        <w:tc>
          <w:tcPr>
            <w:tcW w:w="1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333333"/>
                <w:w w:val="96"/>
              </w:rPr>
              <w:t>Shares That May</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333333"/>
              </w:rPr>
              <w:t>Period</w:t>
            </w:r>
          </w:p>
        </w:tc>
        <w:tc>
          <w:tcPr>
            <w:tcW w:w="13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333333"/>
                <w:w w:val="98"/>
              </w:rPr>
              <w:t>of Shares</w:t>
            </w: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5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333333"/>
                <w:w w:val="98"/>
              </w:rPr>
              <w:t>Publicly Announced Buy</w:t>
            </w:r>
          </w:p>
        </w:tc>
        <w:tc>
          <w:tcPr>
            <w:tcW w:w="1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333333"/>
                <w:w w:val="96"/>
              </w:rPr>
              <w:t>Yet Be Purchased</w:t>
            </w:r>
          </w:p>
        </w:tc>
        <w:tc>
          <w:tcPr>
            <w:tcW w:w="14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333333"/>
                <w:w w:val="97"/>
              </w:rPr>
              <w:t>Purchased as Trade for</w:t>
            </w:r>
          </w:p>
        </w:tc>
        <w:tc>
          <w:tcPr>
            <w:tcW w:w="0" w:type="dxa"/>
            <w:vAlign w:val="bottom"/>
          </w:tcPr>
          <w:p>
            <w:pPr>
              <w:spacing w:after="0"/>
              <w:rPr>
                <w:sz w:val="1"/>
                <w:szCs w:val="1"/>
                <w:color w:val="auto"/>
              </w:rPr>
            </w:pPr>
          </w:p>
        </w:tc>
      </w:tr>
      <w:tr>
        <w:trPr>
          <w:trHeight w:val="165"/>
        </w:trPr>
        <w:tc>
          <w:tcPr>
            <w:tcW w:w="4020" w:type="dxa"/>
            <w:vAlign w:val="bottom"/>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333333"/>
                <w:w w:val="97"/>
              </w:rPr>
              <w:t>Purchased</w:t>
            </w:r>
          </w:p>
        </w:tc>
        <w:tc>
          <w:tcPr>
            <w:tcW w:w="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333333"/>
              </w:rPr>
              <w:t>Paid per Share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333333"/>
                <w:w w:val="97"/>
              </w:rPr>
              <w:t>Back Programs</w:t>
            </w: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color w:val="333333"/>
                <w:w w:val="98"/>
              </w:rPr>
              <w:t>Under the Buy Back Program</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333333"/>
                <w:w w:val="93"/>
              </w:rPr>
              <w:t>Tax (1)</w:t>
            </w:r>
          </w:p>
        </w:tc>
        <w:tc>
          <w:tcPr>
            <w:tcW w:w="0" w:type="dxa"/>
            <w:vAlign w:val="bottom"/>
          </w:tcPr>
          <w:p>
            <w:pPr>
              <w:spacing w:after="0"/>
              <w:rPr>
                <w:sz w:val="1"/>
                <w:szCs w:val="1"/>
                <w:color w:val="auto"/>
              </w:rPr>
            </w:pPr>
          </w:p>
        </w:tc>
      </w:tr>
      <w:tr>
        <w:trPr>
          <w:trHeight w:val="36"/>
        </w:trPr>
        <w:tc>
          <w:tcPr>
            <w:tcW w:w="40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333333"/>
              </w:rPr>
              <w:t>June 29, 2026 – August 2, 2026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151,627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$273.41</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141,586</w:t>
            </w:r>
          </w:p>
        </w:tc>
        <w:tc>
          <w:tcPr>
            <w:tcW w:w="18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5,872,999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0" w:type="dxa"/>
            <w:vAlign w:val="bottom"/>
          </w:tcPr>
          <w:p>
            <w:pPr>
              <w:spacing w:after="0"/>
              <w:rPr>
                <w:sz w:val="1"/>
                <w:szCs w:val="1"/>
                <w:color w:val="auto"/>
              </w:rPr>
            </w:pPr>
          </w:p>
        </w:tc>
      </w:tr>
      <w:tr>
        <w:trPr>
          <w:trHeight w:val="178"/>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333333"/>
              </w:rPr>
              <w:t>August 3, 2026 – August 30,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$230.05</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148,811</w:t>
            </w:r>
          </w:p>
        </w:tc>
        <w:tc>
          <w:tcPr>
            <w:tcW w:w="18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5,866,456</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333333"/>
              </w:rPr>
              <w:t>August 31, 2026 – September 27, 2026</w:t>
            </w:r>
          </w:p>
        </w:tc>
        <w:tc>
          <w:tcPr>
            <w:tcW w:w="1320" w:type="dxa"/>
            <w:vAlign w:val="bottom"/>
            <w:tcBorders>
              <w:bottom w:val="single" w:sz="8" w:color="333333"/>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119,188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$227.11</w:t>
            </w:r>
          </w:p>
        </w:tc>
        <w:tc>
          <w:tcPr>
            <w:tcW w:w="80" w:type="dxa"/>
            <w:vAlign w:val="bottom"/>
            <w:shd w:val="clear" w:color="auto" w:fill="CCEEFF"/>
          </w:tcPr>
          <w:p>
            <w:pPr>
              <w:spacing w:after="0"/>
              <w:rPr>
                <w:sz w:val="15"/>
                <w:szCs w:val="15"/>
                <w:color w:val="auto"/>
              </w:rPr>
            </w:pPr>
          </w:p>
        </w:tc>
        <w:tc>
          <w:tcPr>
            <w:tcW w:w="1500" w:type="dxa"/>
            <w:vAlign w:val="bottom"/>
            <w:tcBorders>
              <w:bottom w:val="single" w:sz="8" w:color="333333"/>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119,188</w:t>
            </w:r>
          </w:p>
        </w:tc>
        <w:tc>
          <w:tcPr>
            <w:tcW w:w="18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26,396,813</w:t>
            </w:r>
          </w:p>
        </w:tc>
        <w:tc>
          <w:tcPr>
            <w:tcW w:w="1440" w:type="dxa"/>
            <w:vAlign w:val="bottom"/>
            <w:tcBorders>
              <w:bottom w:val="single" w:sz="8" w:color="333333"/>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4020" w:type="dxa"/>
            <w:vAlign w:val="bottom"/>
          </w:tcPr>
          <w:p>
            <w:pPr>
              <w:ind w:left="3700"/>
              <w:spacing w:after="0"/>
              <w:rPr>
                <w:sz w:val="20"/>
                <w:szCs w:val="20"/>
                <w:color w:val="auto"/>
              </w:rPr>
            </w:pPr>
            <w:r>
              <w:rPr>
                <w:rFonts w:ascii="Times New Roman" w:cs="Times New Roman" w:eastAsia="Times New Roman" w:hAnsi="Times New Roman"/>
                <w:sz w:val="13"/>
                <w:szCs w:val="13"/>
                <w:color w:val="333333"/>
              </w:rPr>
              <w:t>Total</w:t>
            </w:r>
          </w:p>
        </w:tc>
        <w:tc>
          <w:tcPr>
            <w:tcW w:w="1320" w:type="dxa"/>
            <w:vAlign w:val="bottom"/>
            <w:tcBorders>
              <w:bottom w:val="single" w:sz="8" w:color="333333"/>
            </w:tcBorders>
          </w:tcPr>
          <w:p>
            <w:pPr>
              <w:jc w:val="right"/>
              <w:spacing w:after="0"/>
              <w:rPr>
                <w:sz w:val="20"/>
                <w:szCs w:val="20"/>
                <w:color w:val="auto"/>
              </w:rPr>
            </w:pPr>
            <w:r>
              <w:rPr>
                <w:rFonts w:ascii="Times New Roman" w:cs="Times New Roman" w:eastAsia="Times New Roman" w:hAnsi="Times New Roman"/>
                <w:sz w:val="13"/>
                <w:szCs w:val="13"/>
                <w:color w:val="auto"/>
              </w:rPr>
              <w:t>419,626</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bottom w:val="single" w:sz="8" w:color="333333"/>
            </w:tcBorders>
          </w:tcPr>
          <w:p>
            <w:pPr>
              <w:jc w:val="right"/>
              <w:spacing w:after="0"/>
              <w:rPr>
                <w:sz w:val="20"/>
                <w:szCs w:val="20"/>
                <w:color w:val="auto"/>
              </w:rPr>
            </w:pPr>
            <w:r>
              <w:rPr>
                <w:rFonts w:ascii="Times New Roman" w:cs="Times New Roman" w:eastAsia="Times New Roman" w:hAnsi="Times New Roman"/>
                <w:sz w:val="13"/>
                <w:szCs w:val="13"/>
                <w:color w:val="auto"/>
              </w:rPr>
              <w:t>409,585</w:t>
            </w:r>
          </w:p>
        </w:tc>
        <w:tc>
          <w:tcPr>
            <w:tcW w:w="1840" w:type="dxa"/>
            <w:vAlign w:val="bottom"/>
          </w:tcPr>
          <w:p>
            <w:pPr>
              <w:spacing w:after="0"/>
              <w:rPr>
                <w:sz w:val="14"/>
                <w:szCs w:val="14"/>
                <w:color w:val="auto"/>
              </w:rPr>
            </w:pPr>
          </w:p>
        </w:tc>
        <w:tc>
          <w:tcPr>
            <w:tcW w:w="1440" w:type="dxa"/>
            <w:vAlign w:val="bottom"/>
            <w:tcBorders>
              <w:bottom w:val="single" w:sz="8" w:color="333333"/>
            </w:tcBorders>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20" w:type="dxa"/>
            <w:vAlign w:val="bottom"/>
            <w:tcBorders>
              <w:bottom w:val="single" w:sz="8" w:color="3333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333333"/>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40" w:type="dxa"/>
            <w:vAlign w:val="bottom"/>
            <w:tcBorders>
              <w:bottom w:val="single" w:sz="8" w:color="3333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160" w:hanging="155"/>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Reflects shares surrendered by participants to satisfy tax withholding obligations in connection with the Company's equity programs.</w:t>
      </w:r>
    </w:p>
    <w:p>
      <w:pPr>
        <w:spacing w:after="0" w:line="18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Plans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08" w:right="339" w:bottom="1440" w:gutter="0" w:footer="0" w:header="0"/>
        </w:sectPr>
      </w:pPr>
    </w:p>
    <w:bookmarkStart w:id="42" w:name="page43"/>
    <w:bookmarkEnd w:id="42"/>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94996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9960" cy="698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05028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50280" cy="6985"/>
                    </a:xfrm>
                    <a:prstGeom prst="rect">
                      <a:avLst/>
                    </a:prstGeom>
                    <a:noFill/>
                  </pic:spPr>
                </pic:pic>
              </a:graphicData>
            </a:graphic>
          </wp:anchor>
        </w:drawing>
      </w:r>
    </w:p>
    <w:p>
      <w:pPr>
        <w:spacing w:after="0" w:line="55" w:lineRule="exact"/>
        <w:rPr>
          <w:sz w:val="20"/>
          <w:szCs w:val="20"/>
          <w:color w:val="auto"/>
        </w:rPr>
      </w:pPr>
    </w:p>
    <w:p>
      <w:pPr>
        <w:ind w:right="580"/>
        <w:spacing w:after="0" w:line="235" w:lineRule="auto"/>
        <w:rPr>
          <w:rFonts w:ascii="Times New Roman" w:cs="Times New Roman" w:eastAsia="Times New Roman" w:hAnsi="Times New Roman"/>
          <w:sz w:val="13"/>
          <w:szCs w:val="13"/>
          <w:u w:val="single" w:color="auto"/>
          <w:color w:val="0000FF"/>
        </w:rPr>
      </w:pPr>
      <w:hyperlink r:id="rId82">
        <w:r>
          <w:rPr>
            <w:rFonts w:ascii="Times New Roman" w:cs="Times New Roman" w:eastAsia="Times New Roman" w:hAnsi="Times New Roman"/>
            <w:sz w:val="13"/>
            <w:szCs w:val="13"/>
            <w:u w:val="single" w:color="auto"/>
            <w:color w:val="0000FF"/>
          </w:rPr>
          <w:t>Articles of Association of NXP Semiconductors N.V. dated June 9, 2020 (incorporated by reference to Exhibit 3.1 to the Company’s Quarterly Report on Form 10-Q of NXP</w:t>
        </w:r>
      </w:hyperlink>
      <w:r>
        <w:rPr>
          <w:rFonts w:ascii="Times New Roman" w:cs="Times New Roman" w:eastAsia="Times New Roman" w:hAnsi="Times New Roman"/>
          <w:sz w:val="13"/>
          <w:szCs w:val="13"/>
          <w:u w:val="single" w:color="auto"/>
          <w:color w:val="0000FF"/>
        </w:rPr>
        <w:t xml:space="preserve"> </w:t>
      </w:r>
      <w:hyperlink r:id="rId82">
        <w:r>
          <w:rPr>
            <w:rFonts w:ascii="Times New Roman" w:cs="Times New Roman" w:eastAsia="Times New Roman" w:hAnsi="Times New Roman"/>
            <w:sz w:val="13"/>
            <w:szCs w:val="13"/>
            <w:u w:val="single" w:color="auto"/>
            <w:color w:val="0000FF"/>
          </w:rPr>
          <w:t>Semiconductors N.V., filed on July 28, 2020)</w:t>
        </w:r>
      </w:hyperlink>
    </w:p>
    <w:p>
      <w:pPr>
        <w:spacing w:after="0" w:line="4" w:lineRule="exact"/>
        <w:rPr>
          <w:sz w:val="20"/>
          <w:szCs w:val="20"/>
          <w:color w:val="auto"/>
        </w:rPr>
      </w:pPr>
    </w:p>
    <w:p>
      <w:pPr>
        <w:sectPr>
          <w:pgSz w:w="11900" w:h="16838" w:orient="portrait"/>
          <w:cols w:equalWidth="0" w:num="2">
            <w:col w:w="1080" w:space="560"/>
            <w:col w:w="9400"/>
          </w:cols>
          <w:pgMar w:left="300" w:top="908" w:right="559" w:bottom="1440" w:gutter="0" w:footer="0" w:header="0"/>
        </w:sectPr>
      </w:pPr>
    </w:p>
    <w:tbl>
      <w:tblPr>
        <w:tblLayout w:type="fixed"/>
        <w:tblInd w:w="20" w:type="dxa"/>
        <w:tblCellMar>
          <w:top w:w="0" w:type="dxa"/>
          <w:left w:w="0" w:type="dxa"/>
          <w:bottom w:w="0" w:type="dxa"/>
          <w:right w:w="0" w:type="dxa"/>
        </w:tblCellMar>
      </w:tblPr>
      <w:tr>
        <w:trPr>
          <w:trHeight w:val="149"/>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3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7"/>
              </w:rPr>
              <w:t>Form of Performance Restricted Stock Unit Award Agreement</w:t>
            </w:r>
          </w:p>
        </w:tc>
        <w:tc>
          <w:tcPr>
            <w:tcW w:w="6200" w:type="dxa"/>
            <w:vAlign w:val="bottom"/>
          </w:tcPr>
          <w:p>
            <w:pPr>
              <w:spacing w:after="0"/>
              <w:rPr>
                <w:sz w:val="12"/>
                <w:szCs w:val="12"/>
                <w:color w:val="auto"/>
              </w:rPr>
            </w:pPr>
          </w:p>
        </w:tc>
      </w:tr>
      <w:tr>
        <w:trPr>
          <w:trHeight w:val="188"/>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9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Rule 13a-14(a) / 15d-14(a) Certification of Chief Executive Officer</w:t>
            </w:r>
          </w:p>
        </w:tc>
      </w:tr>
      <w:tr>
        <w:trPr>
          <w:trHeight w:val="212"/>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9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Rule 13a-14(a) / 15d-14(a) Certification of Chief Financial Officer</w:t>
            </w:r>
          </w:p>
        </w:tc>
      </w:tr>
      <w:tr>
        <w:trPr>
          <w:trHeight w:val="212"/>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9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1350 Certifications of Chief Executive Officer and Chief Financial Officer</w:t>
            </w:r>
          </w:p>
        </w:tc>
      </w:tr>
      <w:tr>
        <w:trPr>
          <w:trHeight w:val="174"/>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940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9"/>
              </w:rPr>
              <w:t>The following materials from the Company’s Quarterly Report on Form 10-Q for the quarter ended September 27, 2026, formatted in iXBRL (Inline eXtensible Business Reporting</w:t>
            </w:r>
          </w:p>
        </w:tc>
      </w:tr>
      <w:tr>
        <w:trPr>
          <w:trHeight w:val="127"/>
        </w:trPr>
        <w:tc>
          <w:tcPr>
            <w:tcW w:w="1620" w:type="dxa"/>
            <w:vAlign w:val="bottom"/>
          </w:tcPr>
          <w:p>
            <w:pPr>
              <w:spacing w:after="0"/>
              <w:rPr>
                <w:sz w:val="11"/>
                <w:szCs w:val="11"/>
                <w:color w:val="auto"/>
              </w:rPr>
            </w:pPr>
          </w:p>
        </w:tc>
        <w:tc>
          <w:tcPr>
            <w:tcW w:w="94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w w:val="98"/>
              </w:rPr>
              <w:t>Language): (i) Condensed Consolidated Statements of Operations for the three months ended September 27, 2026 and September 28, 2025; (ii) Condensed Consolidated Statements of</w:t>
            </w:r>
          </w:p>
        </w:tc>
      </w:tr>
      <w:tr>
        <w:trPr>
          <w:trHeight w:val="127"/>
        </w:trPr>
        <w:tc>
          <w:tcPr>
            <w:tcW w:w="1620" w:type="dxa"/>
            <w:vAlign w:val="bottom"/>
          </w:tcPr>
          <w:p>
            <w:pPr>
              <w:spacing w:after="0"/>
              <w:rPr>
                <w:sz w:val="11"/>
                <w:szCs w:val="11"/>
                <w:color w:val="auto"/>
              </w:rPr>
            </w:pPr>
          </w:p>
        </w:tc>
        <w:tc>
          <w:tcPr>
            <w:tcW w:w="94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w w:val="97"/>
              </w:rPr>
              <w:t>Comprehensive Income for the three months ended September 27, 2026 and September 28, 2025; (iii) Condensed Consolidated Balance Sheets as of September 27, 2026 and December</w:t>
            </w:r>
          </w:p>
        </w:tc>
      </w:tr>
      <w:tr>
        <w:trPr>
          <w:trHeight w:val="127"/>
        </w:trPr>
        <w:tc>
          <w:tcPr>
            <w:tcW w:w="1620" w:type="dxa"/>
            <w:vAlign w:val="bottom"/>
          </w:tcPr>
          <w:p>
            <w:pPr>
              <w:spacing w:after="0"/>
              <w:rPr>
                <w:sz w:val="11"/>
                <w:szCs w:val="11"/>
                <w:color w:val="auto"/>
              </w:rPr>
            </w:pPr>
          </w:p>
        </w:tc>
        <w:tc>
          <w:tcPr>
            <w:tcW w:w="94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w w:val="98"/>
              </w:rPr>
              <w:t>31, 2025; (iv) Condensed Consolidated Statements of Cash Flows for the three months ended September 27, 2026 and September 28, 2025; (v) Condensed Consolidated Statements of</w:t>
            </w:r>
          </w:p>
        </w:tc>
      </w:tr>
      <w:tr>
        <w:trPr>
          <w:trHeight w:val="165"/>
        </w:trPr>
        <w:tc>
          <w:tcPr>
            <w:tcW w:w="1620" w:type="dxa"/>
            <w:vAlign w:val="bottom"/>
          </w:tcPr>
          <w:p>
            <w:pPr>
              <w:spacing w:after="0"/>
              <w:rPr>
                <w:sz w:val="14"/>
                <w:szCs w:val="14"/>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Changes in Equity for the three months ended September 27, 2026 and September 28, 2025; and (vi) Notes to the Unaudited Condensed Consolidated Financial Statements.</w:t>
            </w:r>
          </w:p>
        </w:tc>
      </w:tr>
      <w:tr>
        <w:trPr>
          <w:trHeight w:val="18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9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and contained in Exhibit 101).</w:t>
            </w:r>
          </w:p>
        </w:tc>
      </w:tr>
    </w:tbl>
    <w:p>
      <w:pPr>
        <w:spacing w:after="0" w:line="153" w:lineRule="exact"/>
        <w:rPr>
          <w:sz w:val="20"/>
          <w:szCs w:val="20"/>
          <w:color w:val="auto"/>
        </w:rPr>
      </w:pPr>
    </w:p>
    <w:p>
      <w:pPr>
        <w:ind w:left="800" w:hanging="781"/>
        <w:spacing w:after="0"/>
        <w:tabs>
          <w:tab w:leader="none" w:pos="8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or furnished herewith.</w:t>
      </w:r>
    </w:p>
    <w:p>
      <w:pPr>
        <w:spacing w:after="0" w:line="31" w:lineRule="exact"/>
        <w:rPr>
          <w:sz w:val="20"/>
          <w:szCs w:val="20"/>
          <w:color w:val="auto"/>
        </w:rPr>
      </w:pPr>
    </w:p>
    <w:p>
      <w:pPr>
        <w:ind w:left="800" w:hanging="781"/>
        <w:spacing w:after="0"/>
        <w:tabs>
          <w:tab w:leader="none" w:pos="8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908" w:right="559" w:bottom="1440" w:gutter="0" w:footer="0" w:header="0"/>
          <w:type w:val="continuous"/>
        </w:sectPr>
      </w:pPr>
    </w:p>
    <w:bookmarkStart w:id="43" w:name="page44"/>
    <w:bookmarkEnd w:id="43"/>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27, 2026</w:t>
      </w:r>
    </w:p>
    <w:p>
      <w:pPr>
        <w:spacing w:after="0" w:line="23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NXP Semiconductors N.V.</w:t>
      </w:r>
    </w:p>
    <w:p>
      <w:pPr>
        <w:spacing w:after="0" w:line="23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color w:val="auto"/>
        </w:rPr>
        <w:t>/s/ William J. Betz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14605</wp:posOffset>
            </wp:positionV>
            <wp:extent cx="325437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254375" cy="6985"/>
                    </a:xfrm>
                    <a:prstGeom prst="rect">
                      <a:avLst/>
                    </a:prstGeom>
                    <a:noFill/>
                  </pic:spPr>
                </pic:pic>
              </a:graphicData>
            </a:graphic>
          </wp:anchor>
        </w:drawing>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William J. Betz,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60"/>
          </w:cols>
          <w:pgMar w:left="300" w:top="897" w:right="1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Rafael Sotomayor, certify that:</w:t>
      </w:r>
    </w:p>
    <w:p>
      <w:pPr>
        <w:spacing w:after="0" w:line="185" w:lineRule="exact"/>
        <w:rPr>
          <w:sz w:val="20"/>
          <w:szCs w:val="20"/>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NXP Semiconductors N.V.;</w:t>
      </w:r>
    </w:p>
    <w:p>
      <w:pPr>
        <w:spacing w:after="0" w:line="199"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3"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3"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3"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October 27, 2026</w:t>
      </w:r>
    </w:p>
    <w:p>
      <w:pPr>
        <w:ind w:left="4380"/>
        <w:spacing w:after="0" w:line="180" w:lineRule="auto"/>
        <w:tabs>
          <w:tab w:leader="none" w:pos="5080" w:val="left"/>
        </w:tabs>
        <w:rPr>
          <w:sz w:val="20"/>
          <w:szCs w:val="20"/>
          <w:color w:val="auto"/>
        </w:rPr>
      </w:pPr>
      <w:r>
        <w:rPr>
          <w:rFonts w:ascii="Times New Roman" w:cs="Times New Roman" w:eastAsia="Times New Roman" w:hAnsi="Times New Roman"/>
          <w:sz w:val="24"/>
          <w:szCs w:val="24"/>
          <w:color w:val="auto"/>
          <w:vertAlign w:val="subscript"/>
        </w:rPr>
        <w:t>By:</w:t>
      </w:r>
      <w:r>
        <w:rPr>
          <w:sz w:val="20"/>
          <w:szCs w:val="20"/>
          <w:color w:val="auto"/>
        </w:rPr>
        <w:tab/>
      </w:r>
      <w:r>
        <w:rPr>
          <w:rFonts w:ascii="Times New Roman" w:cs="Times New Roman" w:eastAsia="Times New Roman" w:hAnsi="Times New Roman"/>
          <w:sz w:val="13"/>
          <w:szCs w:val="13"/>
          <w:color w:val="auto"/>
        </w:rPr>
        <w:t>/s/ Rafael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38735</wp:posOffset>
            </wp:positionV>
            <wp:extent cx="411670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4116705" cy="6985"/>
                    </a:xfrm>
                    <a:prstGeom prst="rect">
                      <a:avLst/>
                    </a:prstGeom>
                    <a:noFill/>
                  </pic:spPr>
                </pic:pic>
              </a:graphicData>
            </a:graphic>
          </wp:anchor>
        </w:drawing>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Rafael Sotomayor</w:t>
      </w:r>
    </w:p>
    <w:p>
      <w:pPr>
        <w:spacing w:after="0" w:line="6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615315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J. Betz, certify that:</w:t>
      </w:r>
    </w:p>
    <w:p>
      <w:pPr>
        <w:spacing w:after="0" w:line="185" w:lineRule="exact"/>
        <w:rPr>
          <w:sz w:val="20"/>
          <w:szCs w:val="20"/>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NXP Semiconductors N.V.;</w:t>
      </w:r>
    </w:p>
    <w:p>
      <w:pPr>
        <w:spacing w:after="0" w:line="199"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3"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3"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3"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October 27, 2026</w:t>
      </w:r>
    </w:p>
    <w:p>
      <w:pPr>
        <w:ind w:left="4380"/>
        <w:spacing w:after="0" w:line="180" w:lineRule="auto"/>
        <w:tabs>
          <w:tab w:leader="none" w:pos="5080" w:val="left"/>
        </w:tabs>
        <w:rPr>
          <w:sz w:val="20"/>
          <w:szCs w:val="20"/>
          <w:color w:val="auto"/>
        </w:rPr>
      </w:pPr>
      <w:r>
        <w:rPr>
          <w:rFonts w:ascii="Times New Roman" w:cs="Times New Roman" w:eastAsia="Times New Roman" w:hAnsi="Times New Roman"/>
          <w:sz w:val="24"/>
          <w:szCs w:val="24"/>
          <w:color w:val="auto"/>
          <w:vertAlign w:val="subscript"/>
        </w:rPr>
        <w:t>By:</w:t>
      </w:r>
      <w:r>
        <w:rPr>
          <w:sz w:val="20"/>
          <w:szCs w:val="20"/>
          <w:color w:val="auto"/>
        </w:rPr>
        <w:tab/>
      </w:r>
      <w:r>
        <w:rPr>
          <w:rFonts w:ascii="Times New Roman" w:cs="Times New Roman" w:eastAsia="Times New Roman" w:hAnsi="Times New Roman"/>
          <w:sz w:val="13"/>
          <w:szCs w:val="13"/>
          <w:color w:val="auto"/>
        </w:rPr>
        <w:t>/s/ William J. Betz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38735</wp:posOffset>
            </wp:positionV>
            <wp:extent cx="411670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116705" cy="6985"/>
                    </a:xfrm>
                    <a:prstGeom prst="rect">
                      <a:avLst/>
                    </a:prstGeom>
                    <a:noFill/>
                  </pic:spPr>
                </pic:pic>
              </a:graphicData>
            </a:graphic>
          </wp:anchor>
        </w:drawing>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William J. Betz</w:t>
      </w:r>
    </w:p>
    <w:p>
      <w:pPr>
        <w:spacing w:after="0" w:line="6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615315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OF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 Rafael Sotomayor, certify, as of the date hereof, pursuant to 18 U.S.C. Section 1350, as adopted pursuant to Section 906 of the Sarbanes-Oxley Act of 2002, that the Quarterly Report of NXP Semiconductors N.V. on Form 10-Q for the period ended September 27, 2026 fully complies with the requirements of Section 13(a) or 15(d) of the Securities Exchange Act of 1934 and that information contained in such Form 10-Q fairly presents in all material respects the financial condition and results of operations of NXP Semiconductors N.V. at the dates and for the periods indicated.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27, 2026</w:t>
      </w:r>
    </w:p>
    <w:p>
      <w:pPr>
        <w:ind w:left="4640"/>
        <w:spacing w:after="0" w:line="180" w:lineRule="auto"/>
        <w:tabs>
          <w:tab w:leader="none" w:pos="5340" w:val="left"/>
        </w:tabs>
        <w:rPr>
          <w:sz w:val="20"/>
          <w:szCs w:val="20"/>
          <w:color w:val="auto"/>
        </w:rPr>
      </w:pPr>
      <w:r>
        <w:rPr>
          <w:rFonts w:ascii="Times New Roman" w:cs="Times New Roman" w:eastAsia="Times New Roman" w:hAnsi="Times New Roman"/>
          <w:sz w:val="24"/>
          <w:szCs w:val="24"/>
          <w:color w:val="auto"/>
          <w:vertAlign w:val="subscript"/>
        </w:rPr>
        <w:t>By:</w:t>
      </w:r>
      <w:r>
        <w:rPr>
          <w:sz w:val="20"/>
          <w:szCs w:val="20"/>
          <w:color w:val="auto"/>
        </w:rPr>
        <w:tab/>
      </w:r>
      <w:r>
        <w:rPr>
          <w:rFonts w:ascii="Times New Roman" w:cs="Times New Roman" w:eastAsia="Times New Roman" w:hAnsi="Times New Roman"/>
          <w:sz w:val="13"/>
          <w:szCs w:val="13"/>
          <w:color w:val="auto"/>
        </w:rPr>
        <w:t>/s/ Rafael Sotomayor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38735</wp:posOffset>
            </wp:positionV>
            <wp:extent cx="394144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941445" cy="6985"/>
                    </a:xfrm>
                    <a:prstGeom prst="rect">
                      <a:avLst/>
                    </a:prstGeom>
                    <a:noFill/>
                  </pic:spPr>
                </pic:pic>
              </a:graphicData>
            </a:graphic>
          </wp:anchor>
        </w:drawing>
      </w:r>
    </w:p>
    <w:p>
      <w:pPr>
        <w:spacing w:after="0" w:line="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Rafael Sotomayor</w:t>
      </w:r>
    </w:p>
    <w:p>
      <w:pPr>
        <w:spacing w:after="0" w:line="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pacing w:after="0" w:line="3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 William J. Betz, certify, as of the date hereof, pursuant to 18 U.S.C. Section 1350, as adopted pursuant to Section 906 of the Sarbanes-Oxley Act of 2002, that the Quarterly Report of NXP Semiconductors N.V. on Form 10-Q for the period ended September 27, 2026 fully complies with the requirements of Section 13(a) or 15(d) of the Securities Exchange Act of 1934 and that information contained in such Form 10-Q fairly presents in all material respects the financial condition and results of operations of NXP Semiconductors N.V. at the dates and for the periods indicated.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27, 2026</w:t>
      </w:r>
    </w:p>
    <w:p>
      <w:pPr>
        <w:ind w:left="4680"/>
        <w:spacing w:after="0" w:line="180" w:lineRule="auto"/>
        <w:tabs>
          <w:tab w:leader="none" w:pos="5340" w:val="left"/>
        </w:tabs>
        <w:rPr>
          <w:sz w:val="20"/>
          <w:szCs w:val="20"/>
          <w:color w:val="auto"/>
        </w:rPr>
      </w:pPr>
      <w:r>
        <w:rPr>
          <w:rFonts w:ascii="Times New Roman" w:cs="Times New Roman" w:eastAsia="Times New Roman" w:hAnsi="Times New Roman"/>
          <w:sz w:val="24"/>
          <w:szCs w:val="24"/>
          <w:color w:val="auto"/>
          <w:vertAlign w:val="subscript"/>
        </w:rPr>
        <w:t>By:</w:t>
      </w:r>
      <w:r>
        <w:rPr>
          <w:sz w:val="20"/>
          <w:szCs w:val="20"/>
          <w:color w:val="auto"/>
        </w:rPr>
        <w:tab/>
      </w:r>
      <w:r>
        <w:rPr>
          <w:rFonts w:ascii="Times New Roman" w:cs="Times New Roman" w:eastAsia="Times New Roman" w:hAnsi="Times New Roman"/>
          <w:sz w:val="13"/>
          <w:szCs w:val="13"/>
          <w:color w:val="auto"/>
        </w:rPr>
        <w:t>/s/ William J. Betz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38735</wp:posOffset>
            </wp:positionV>
            <wp:extent cx="39414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941445" cy="6985"/>
                    </a:xfrm>
                    <a:prstGeom prst="rect">
                      <a:avLst/>
                    </a:prstGeom>
                    <a:noFill/>
                  </pic:spPr>
                </pic:pic>
              </a:graphicData>
            </a:graphic>
          </wp:anchor>
        </w:drawing>
      </w:r>
    </w:p>
    <w:p>
      <w:pPr>
        <w:spacing w:after="0" w:line="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William J. Betz</w:t>
      </w:r>
    </w:p>
    <w:p>
      <w:pPr>
        <w:spacing w:after="0" w:line="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823" w:right="319" w:bottom="1440"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82" Type="http://schemas.openxmlformats.org/officeDocument/2006/relationships/hyperlink" Target="https://www.sec.gov/Archives/edgar/data/1413447/000141344720000056/a2020-2q10xq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2026-10-27T15:33:21Z</dcterms:created>
  <dcterms:modified xsi:type="dcterms:W3CDTF">2026-10-27T15:33:21Z</dcterms:modified>
</cp:coreProperties>
</file>