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4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293370</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193675</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NXP Semiconductors N.V.</w:t>
      </w:r>
    </w:p>
    <w:p>
      <w:pPr>
        <w:spacing w:after="0" w:line="16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68580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81" w:lineRule="exact"/>
        <w:rPr>
          <w:sz w:val="24"/>
          <w:szCs w:val="24"/>
          <w:color w:val="auto"/>
        </w:rPr>
      </w:pPr>
    </w:p>
    <w:tbl>
      <w:tblPr>
        <w:tblLayout w:type="fixed"/>
        <w:tblInd w:w="980" w:type="dxa"/>
        <w:tblCellMar>
          <w:top w:w="0" w:type="dxa"/>
          <w:left w:w="0" w:type="dxa"/>
          <w:bottom w:w="0" w:type="dxa"/>
          <w:right w:w="0" w:type="dxa"/>
        </w:tblCellMar>
      </w:tblPr>
      <w:tr>
        <w:trPr>
          <w:trHeight w:val="327"/>
        </w:trPr>
        <w:tc>
          <w:tcPr>
            <w:tcW w:w="3600" w:type="dxa"/>
            <w:vAlign w:val="bottom"/>
            <w:gridSpan w:val="3"/>
          </w:tcPr>
          <w:p>
            <w:pPr>
              <w:jc w:val="right"/>
              <w:ind w:right="344"/>
              <w:spacing w:after="0"/>
              <w:rPr>
                <w:sz w:val="20"/>
                <w:szCs w:val="20"/>
                <w:color w:val="auto"/>
              </w:rPr>
            </w:pPr>
            <w:r>
              <w:rPr>
                <w:rFonts w:ascii="Times New Roman" w:cs="Times New Roman" w:eastAsia="Times New Roman" w:hAnsi="Times New Roman"/>
                <w:sz w:val="22"/>
                <w:szCs w:val="22"/>
                <w:b w:val="1"/>
                <w:bCs w:val="1"/>
                <w:color w:val="auto"/>
              </w:rPr>
              <w:t>Netherlands</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tcPr>
          <w:p>
            <w:pPr>
              <w:jc w:val="center"/>
              <w:ind w:right="995"/>
              <w:spacing w:after="0"/>
              <w:rPr>
                <w:sz w:val="20"/>
                <w:szCs w:val="20"/>
                <w:color w:val="auto"/>
              </w:rPr>
            </w:pPr>
            <w:r>
              <w:rPr>
                <w:rFonts w:ascii="Times New Roman" w:cs="Times New Roman" w:eastAsia="Times New Roman" w:hAnsi="Times New Roman"/>
                <w:sz w:val="22"/>
                <w:szCs w:val="22"/>
                <w:b w:val="1"/>
                <w:bCs w:val="1"/>
                <w:color w:val="auto"/>
                <w:w w:val="97"/>
              </w:rPr>
              <w:t>United States</w:t>
            </w:r>
          </w:p>
        </w:tc>
      </w:tr>
      <w:tr>
        <w:trPr>
          <w:trHeight w:val="226"/>
        </w:trPr>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4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040" w:type="dxa"/>
            <w:vAlign w:val="bottom"/>
          </w:tcPr>
          <w:p>
            <w:pPr>
              <w:spacing w:after="0"/>
              <w:rPr>
                <w:sz w:val="20"/>
                <w:szCs w:val="20"/>
                <w:color w:val="auto"/>
              </w:rPr>
            </w:pPr>
          </w:p>
        </w:tc>
      </w:tr>
      <w:tr>
        <w:trPr>
          <w:trHeight w:val="563"/>
        </w:trPr>
        <w:tc>
          <w:tcPr>
            <w:tcW w:w="2600" w:type="dxa"/>
            <w:vAlign w:val="bottom"/>
            <w:gridSpan w:val="2"/>
          </w:tcPr>
          <w:p>
            <w:pPr>
              <w:jc w:val="center"/>
              <w:ind w:left="175"/>
              <w:spacing w:after="0"/>
              <w:rPr>
                <w:sz w:val="20"/>
                <w:szCs w:val="20"/>
                <w:color w:val="auto"/>
              </w:rPr>
            </w:pPr>
            <w:r>
              <w:rPr>
                <w:rFonts w:ascii="Times New Roman" w:cs="Times New Roman" w:eastAsia="Times New Roman" w:hAnsi="Times New Roman"/>
                <w:sz w:val="22"/>
                <w:szCs w:val="22"/>
                <w:b w:val="1"/>
                <w:bCs w:val="1"/>
                <w:color w:val="auto"/>
                <w:w w:val="97"/>
              </w:rPr>
              <w:t>60 High Tech Campus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tcPr>
          <w:p>
            <w:pPr>
              <w:jc w:val="center"/>
              <w:ind w:right="235"/>
              <w:spacing w:after="0"/>
              <w:rPr>
                <w:sz w:val="20"/>
                <w:szCs w:val="20"/>
                <w:color w:val="auto"/>
              </w:rPr>
            </w:pPr>
            <w:r>
              <w:rPr>
                <w:rFonts w:ascii="Times New Roman" w:cs="Times New Roman" w:eastAsia="Times New Roman" w:hAnsi="Times New Roman"/>
                <w:sz w:val="22"/>
                <w:szCs w:val="22"/>
                <w:b w:val="1"/>
                <w:bCs w:val="1"/>
                <w:color w:val="auto"/>
                <w:w w:val="97"/>
              </w:rPr>
              <w:t>6501 W William Cannon Dr.</w:t>
            </w:r>
          </w:p>
        </w:tc>
      </w:tr>
      <w:tr>
        <w:trPr>
          <w:trHeight w:val="283"/>
        </w:trPr>
        <w:tc>
          <w:tcPr>
            <w:tcW w:w="2180" w:type="dxa"/>
            <w:vAlign w:val="bottom"/>
          </w:tcPr>
          <w:p>
            <w:pPr>
              <w:jc w:val="center"/>
              <w:ind w:left="575"/>
              <w:spacing w:after="0"/>
              <w:rPr>
                <w:sz w:val="20"/>
                <w:szCs w:val="20"/>
                <w:color w:val="auto"/>
              </w:rPr>
            </w:pPr>
            <w:r>
              <w:rPr>
                <w:rFonts w:ascii="Times New Roman" w:cs="Times New Roman" w:eastAsia="Times New Roman" w:hAnsi="Times New Roman"/>
                <w:sz w:val="22"/>
                <w:szCs w:val="22"/>
                <w:b w:val="1"/>
                <w:bCs w:val="1"/>
                <w:color w:val="auto"/>
                <w:w w:val="96"/>
              </w:rPr>
              <w:t>Eindhoven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Austin</w:t>
            </w:r>
          </w:p>
        </w:tc>
        <w:tc>
          <w:tcPr>
            <w:tcW w:w="3040" w:type="dxa"/>
            <w:vAlign w:val="bottom"/>
          </w:tcPr>
          <w:p>
            <w:pPr>
              <w:jc w:val="center"/>
              <w:ind w:left="2415"/>
              <w:spacing w:after="0"/>
              <w:rPr>
                <w:sz w:val="20"/>
                <w:szCs w:val="20"/>
                <w:color w:val="auto"/>
              </w:rPr>
            </w:pPr>
            <w:r>
              <w:rPr>
                <w:rFonts w:ascii="Times New Roman" w:cs="Times New Roman" w:eastAsia="Times New Roman" w:hAnsi="Times New Roman"/>
                <w:sz w:val="22"/>
                <w:szCs w:val="22"/>
                <w:b w:val="1"/>
                <w:bCs w:val="1"/>
                <w:color w:val="auto"/>
                <w:w w:val="94"/>
              </w:rPr>
              <w:t>Texas</w:t>
            </w:r>
          </w:p>
        </w:tc>
      </w:tr>
      <w:tr>
        <w:trPr>
          <w:trHeight w:val="286"/>
        </w:trPr>
        <w:tc>
          <w:tcPr>
            <w:tcW w:w="2180" w:type="dxa"/>
            <w:vAlign w:val="bottom"/>
          </w:tcPr>
          <w:p>
            <w:pPr>
              <w:jc w:val="right"/>
              <w:ind w:right="1215"/>
              <w:spacing w:after="0"/>
              <w:rPr>
                <w:sz w:val="20"/>
                <w:szCs w:val="20"/>
                <w:color w:val="auto"/>
              </w:rPr>
            </w:pPr>
            <w:r>
              <w:rPr>
                <w:rFonts w:ascii="Times New Roman" w:cs="Times New Roman" w:eastAsia="Times New Roman" w:hAnsi="Times New Roman"/>
                <w:sz w:val="22"/>
                <w:szCs w:val="22"/>
                <w:b w:val="1"/>
                <w:bCs w:val="1"/>
                <w:color w:val="auto"/>
              </w:rPr>
              <w:t>5656 AG</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Netherlands</w:t>
            </w:r>
          </w:p>
        </w:tc>
        <w:tc>
          <w:tcPr>
            <w:tcW w:w="12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78735</w:t>
            </w:r>
          </w:p>
        </w:tc>
        <w:tc>
          <w:tcPr>
            <w:tcW w:w="3040" w:type="dxa"/>
            <w:vAlign w:val="bottom"/>
          </w:tcPr>
          <w:p>
            <w:pPr>
              <w:jc w:val="center"/>
              <w:ind w:left="2415"/>
              <w:spacing w:after="0"/>
              <w:rPr>
                <w:sz w:val="20"/>
                <w:szCs w:val="20"/>
                <w:color w:val="auto"/>
              </w:rPr>
            </w:pPr>
            <w:r>
              <w:rPr>
                <w:rFonts w:ascii="Times New Roman" w:cs="Times New Roman" w:eastAsia="Times New Roman" w:hAnsi="Times New Roman"/>
                <w:sz w:val="22"/>
                <w:szCs w:val="22"/>
                <w:b w:val="1"/>
                <w:bCs w:val="1"/>
                <w:color w:val="auto"/>
                <w:w w:val="99"/>
              </w:rPr>
              <w:t>USA</w:t>
            </w:r>
          </w:p>
        </w:tc>
      </w:tr>
      <w:tr>
        <w:trPr>
          <w:trHeight w:val="245"/>
        </w:trPr>
        <w:tc>
          <w:tcPr>
            <w:tcW w:w="2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140" w:type="dxa"/>
            <w:vAlign w:val="bottom"/>
            <w:gridSpan w:val="4"/>
          </w:tcPr>
          <w:p>
            <w:pPr>
              <w:jc w:val="center"/>
              <w:ind w:right="1935"/>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79"/>
        </w:trPr>
        <w:tc>
          <w:tcPr>
            <w:tcW w:w="2180" w:type="dxa"/>
            <w:vAlign w:val="bottom"/>
          </w:tcPr>
          <w:p>
            <w:pPr>
              <w:jc w:val="center"/>
              <w:ind w:left="575"/>
              <w:spacing w:after="0"/>
              <w:rPr>
                <w:sz w:val="20"/>
                <w:szCs w:val="20"/>
                <w:color w:val="auto"/>
              </w:rPr>
            </w:pPr>
            <w:r>
              <w:rPr>
                <w:rFonts w:ascii="Times New Roman" w:cs="Times New Roman" w:eastAsia="Times New Roman" w:hAnsi="Times New Roman"/>
                <w:sz w:val="22"/>
                <w:szCs w:val="22"/>
                <w:b w:val="1"/>
                <w:bCs w:val="1"/>
                <w:color w:val="auto"/>
                <w:w w:val="95"/>
              </w:rPr>
              <w:t>98-1144352</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tcPr>
          <w:p>
            <w:pPr>
              <w:jc w:val="center"/>
              <w:ind w:right="235"/>
              <w:spacing w:after="0"/>
              <w:rPr>
                <w:sz w:val="20"/>
                <w:szCs w:val="20"/>
                <w:color w:val="auto"/>
              </w:rPr>
            </w:pPr>
            <w:r>
              <w:rPr>
                <w:rFonts w:ascii="Times New Roman" w:cs="Times New Roman" w:eastAsia="Times New Roman" w:hAnsi="Times New Roman"/>
                <w:sz w:val="22"/>
                <w:szCs w:val="22"/>
                <w:b w:val="1"/>
                <w:bCs w:val="1"/>
                <w:color w:val="auto"/>
                <w:w w:val="98"/>
              </w:rPr>
              <w:t>001-34841</w:t>
            </w:r>
          </w:p>
        </w:tc>
      </w:tr>
      <w:tr>
        <w:trPr>
          <w:trHeight w:val="245"/>
        </w:trPr>
        <w:tc>
          <w:tcPr>
            <w:tcW w:w="3600" w:type="dxa"/>
            <w:vAlign w:val="bottom"/>
            <w:gridSpan w:val="3"/>
          </w:tcPr>
          <w:p>
            <w:pPr>
              <w:jc w:val="center"/>
              <w:ind w:right="644"/>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4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808"/>
        </w:trPr>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c>
          <w:tcPr>
            <w:tcW w:w="4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40</w:t>
            </w: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22"/>
                <w:szCs w:val="22"/>
                <w:b w:val="1"/>
                <w:bCs w:val="1"/>
                <w:color w:val="auto"/>
              </w:rPr>
              <w:t>2729999</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22"/>
                <w:szCs w:val="22"/>
                <w:b w:val="1"/>
                <w:bCs w:val="1"/>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512</w:t>
            </w:r>
          </w:p>
        </w:tc>
        <w:tc>
          <w:tcPr>
            <w:tcW w:w="3040" w:type="dxa"/>
            <w:vAlign w:val="bottom"/>
          </w:tcPr>
          <w:p>
            <w:pPr>
              <w:jc w:val="right"/>
              <w:ind w:right="1555"/>
              <w:spacing w:after="0"/>
              <w:rPr>
                <w:sz w:val="20"/>
                <w:szCs w:val="20"/>
                <w:color w:val="auto"/>
              </w:rPr>
            </w:pPr>
            <w:r>
              <w:rPr>
                <w:rFonts w:ascii="Times New Roman" w:cs="Times New Roman" w:eastAsia="Times New Roman" w:hAnsi="Times New Roman"/>
                <w:sz w:val="22"/>
                <w:szCs w:val="22"/>
                <w:b w:val="1"/>
                <w:bCs w:val="1"/>
                <w:color w:val="auto"/>
              </w:rPr>
              <w:t>895 2000</w:t>
            </w:r>
          </w:p>
        </w:tc>
      </w:tr>
      <w:tr>
        <w:trPr>
          <w:trHeight w:val="285"/>
        </w:trPr>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gridSpan w:val="4"/>
          </w:tcPr>
          <w:p>
            <w:pPr>
              <w:jc w:val="center"/>
              <w:ind w:right="195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00" w:lineRule="exact"/>
        <w:rPr>
          <w:sz w:val="24"/>
          <w:szCs w:val="24"/>
          <w:color w:val="auto"/>
        </w:rPr>
      </w:pPr>
    </w:p>
    <w:p>
      <w:pPr>
        <w:spacing w:after="0" w:line="2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4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32"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70"/>
        </w:trPr>
        <w:tc>
          <w:tcPr>
            <w:tcW w:w="45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Trading symbol(s)</w:t>
            </w:r>
          </w:p>
        </w:tc>
        <w:tc>
          <w:tcPr>
            <w:tcW w:w="40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Number of each exchange on which registered</w:t>
            </w:r>
          </w:p>
        </w:tc>
      </w:tr>
      <w:tr>
        <w:trPr>
          <w:trHeight w:val="324"/>
        </w:trPr>
        <w:tc>
          <w:tcPr>
            <w:tcW w:w="45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Common shares, EUR 0.20 par value</w:t>
            </w:r>
          </w:p>
        </w:tc>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NXPI</w:t>
            </w:r>
          </w:p>
        </w:tc>
        <w:tc>
          <w:tcPr>
            <w:tcW w:w="4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0" w:lineRule="exact"/>
        <w:rPr>
          <w:sz w:val="20"/>
          <w:szCs w:val="20"/>
          <w:color w:val="auto"/>
        </w:rPr>
      </w:pPr>
    </w:p>
    <w:p>
      <w:pPr>
        <w:ind w:right="16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0"/>
          <w:szCs w:val="20"/>
          <w:color w:val="auto"/>
        </w:rPr>
      </w:pPr>
    </w:p>
    <w:p>
      <w:pPr>
        <w:ind w:left="5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1980"/>
        <w:spacing w:after="0" w:line="282" w:lineRule="auto"/>
        <w:rPr>
          <w:sz w:val="20"/>
          <w:szCs w:val="20"/>
          <w:color w:val="auto"/>
        </w:rPr>
      </w:pPr>
      <w:r>
        <w:rPr>
          <w:rFonts w:ascii="Times New Roman" w:cs="Times New Roman" w:eastAsia="Times New Roman" w:hAnsi="Times New Roman"/>
          <w:sz w:val="18"/>
          <w:szCs w:val="18"/>
          <w:color w:val="auto"/>
        </w:rPr>
        <w:t>On October 27, 2026, NXP Semiconductors N.V. ("NXP") issued a press release regarding NXP’s financial results for its third quarter 2026. A copy of the press release is attached as Exhibit 99.1.</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attached exhibit, shall not be deemed “filed” for purposes of Section 18 of the Securities Exchange Act of 1934, as amended (the “Exchange Act”), nor shall it be deemed to be incorporated by reference in any filing under the Securities Act of 1933, as amended, or the Exchange Act, except as shall be expressly set forth by specific reference in such a filing.</w:t>
      </w:r>
    </w:p>
    <w:p>
      <w:pPr>
        <w:spacing w:after="0" w:line="2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 Exhibits.</w:t>
      </w:r>
    </w:p>
    <w:p>
      <w:pPr>
        <w:spacing w:after="0" w:line="19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27, 2026 entitled: "NXP Semiconductors Reports Third Quarter 2026 Results".</w:t>
      </w:r>
    </w:p>
    <w:p>
      <w:pPr>
        <w:spacing w:after="0" w:line="36"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12" w:right="4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0" w:lineRule="exact"/>
        <w:rPr>
          <w:sz w:val="20"/>
          <w:szCs w:val="20"/>
          <w:color w:val="auto"/>
        </w:rPr>
      </w:pPr>
    </w:p>
    <w:p>
      <w:pPr>
        <w:spacing w:after="0" w:line="38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NXP Semiconductors N.V.</w:t>
      </w:r>
    </w:p>
    <w:p>
      <w:pPr>
        <w:spacing w:after="0" w:line="3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William J. Betz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17145</wp:posOffset>
            </wp:positionV>
            <wp:extent cx="2305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Name: William J. Betz, CFO</w:t>
      </w:r>
    </w:p>
    <w:p>
      <w:pPr>
        <w:sectPr>
          <w:pgSz w:w="11900" w:h="16838" w:orient="portrait"/>
          <w:cols w:equalWidth="0" w:num="1">
            <w:col w:w="10280"/>
          </w:cols>
          <w:pgMar w:left="320" w:top="765"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500380</wp:posOffset>
            </wp:positionV>
            <wp:extent cx="1971675"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716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NXP Semiconductors Reports Third Quarter 2026 Results</w:t>
      </w:r>
    </w:p>
    <w:p>
      <w:pPr>
        <w:spacing w:after="0" w:line="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Announces $5 Billion Increase in Share Repurchase Authorization</w:t>
      </w:r>
    </w:p>
    <w:p>
      <w:pPr>
        <w:spacing w:after="0" w:line="200" w:lineRule="exact"/>
        <w:rPr>
          <w:sz w:val="20"/>
          <w:szCs w:val="20"/>
          <w:color w:val="auto"/>
        </w:rPr>
      </w:pPr>
    </w:p>
    <w:p>
      <w:pPr>
        <w:spacing w:after="0" w:line="3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EINDHOVEN, The Netherlands, </w:t>
      </w:r>
      <w:r>
        <w:rPr>
          <w:rFonts w:ascii="Times New Roman" w:cs="Times New Roman" w:eastAsia="Times New Roman" w:hAnsi="Times New Roman"/>
          <w:sz w:val="18"/>
          <w:szCs w:val="18"/>
          <w:color w:val="auto"/>
        </w:rPr>
        <w:t>October 27,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NXP Semiconductors N.V. (NASDAQ: NXPI) today reported financial results for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ended September 27, 2026. “NXP delivered third-quarter revenue of $3.8 billion, up 19 percent year-on-year and 8 percent sequentially. Our performance was driven by accelerating contributions from our company-specific growth drivers in automotive and industrial as well as continued momentum in data center infrastructure. Strong profitability leading to free cash flow generation enables NXP to invest in innovative solutions and expand manufacturing capabilities that support our long-term growth objectives, while continuing to return capital to shareholders through our newly announced $5 billion share repurchase authorization. Looking ahead, we see significant opportunities as software-defined vehicles drive increasing demand for our next-generation solutions, while data center infrastructure and Trusted Physical AI applications create new vectors for long-term growth,” said Rafael Sotomayor, NXP President and Chief Executive Officer.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Highlights for the Third Quarter 2026:</w:t>
      </w:r>
    </w:p>
    <w:p>
      <w:pPr>
        <w:spacing w:after="0" w:line="6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was $3.79 billion, up 19 percent year-on-year;</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57.8 percent, GAAP operating margin was 32.4 percent and GAAP diluted Net Income per Share was $3.48;</w:t>
      </w:r>
    </w:p>
    <w:p>
      <w:pPr>
        <w:spacing w:after="0" w:line="76"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was 58.6 percent, non-GAAP operating margin was 37.1 percent, and non-GAAP diluted Net Income per Share was $4.20;</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$1.26 billion, with net capex investments of $50 million, resulting in non-GAAP free cash flow of $1.21 billion or 31.9 percent of revenue;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return during the quarter was $359 million, representing 29.8 percent of third quarter non-GAAP free cash flow. Dividends paid during the quarter were $256 million, and share buybacks were $103 million;</w:t>
      </w:r>
    </w:p>
    <w:p>
      <w:pPr>
        <w:spacing w:after="0" w:line="1"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2026, NXP announced that its Trimension™ Ultra-Wideband (UWB) ranging and radar solutions will be deployed by the BMW Group across its fleet, starting with selected 2026 vehicle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2026, NXP broke ground on its assembly and test site expansion in Malaysia;</w:t>
      </w:r>
    </w:p>
    <w:p>
      <w:pPr>
        <w:spacing w:after="0" w:line="36"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2026, VSMC, the joint venture between Vanguard International Semiconductor Corporation (VIS) and NXP Semiconductors N.V., marked the grand opening of its first 300mm fab in Singapore; and</w:t>
      </w:r>
    </w:p>
    <w:p>
      <w:pPr>
        <w:spacing w:after="0" w:line="1" w:lineRule="exact"/>
        <w:rPr>
          <w:rFonts w:ascii="Times New Roman" w:cs="Times New Roman" w:eastAsia="Times New Roman" w:hAnsi="Times New Roman"/>
          <w:sz w:val="18"/>
          <w:szCs w:val="18"/>
          <w:color w:val="auto"/>
        </w:rPr>
      </w:pPr>
    </w:p>
    <w:p>
      <w:pPr>
        <w:ind w:left="660" w:right="620" w:hanging="328"/>
        <w:spacing w:after="0" w:line="31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NXP Board of Directors, in October after quarter end, authorized a $5 billion share repurchase program in addition to the $1.3 billion remaining under the prior authorization.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00"/>
          </w:cols>
          <w:pgMar w:left="320" w:top="144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3"/>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Summary of Reported Third Quarter 2026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millions, unaudited</w:t>
            </w: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2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100" w:type="dxa"/>
            <w:vAlign w:val="bottom"/>
            <w:tcBorders>
              <w:bottom w:val="single" w:sz="8" w:color="auto"/>
            </w:tcBorders>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Q3 2026</w:t>
            </w: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Q3 2025</w:t>
            </w: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Q - Q</w:t>
            </w:r>
          </w:p>
        </w:tc>
        <w:tc>
          <w:tcPr>
            <w:tcW w:w="6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2"/>
              </w:rPr>
              <w:t>Y - Y</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5"/>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4"/>
            <w:vMerge w:val="continue"/>
          </w:tcPr>
          <w:p>
            <w:pPr>
              <w:spacing w:after="0"/>
              <w:rPr>
                <w:sz w:val="22"/>
                <w:szCs w:val="22"/>
                <w:color w:val="auto"/>
              </w:rPr>
            </w:pPr>
          </w:p>
        </w:tc>
        <w:tc>
          <w:tcPr>
            <w:tcW w:w="840" w:type="dxa"/>
            <w:vAlign w:val="bottom"/>
            <w:gridSpan w:val="4"/>
            <w:vMerge w:val="continue"/>
          </w:tcPr>
          <w:p>
            <w:pPr>
              <w:spacing w:after="0"/>
              <w:rPr>
                <w:sz w:val="22"/>
                <w:szCs w:val="22"/>
                <w:color w:val="auto"/>
              </w:rPr>
            </w:pPr>
          </w:p>
        </w:tc>
        <w:tc>
          <w:tcPr>
            <w:tcW w:w="620" w:type="dxa"/>
            <w:vAlign w:val="bottom"/>
            <w:gridSpan w:val="4"/>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3,786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3,496</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3,173</w:t>
            </w: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1,787</w:t>
            </w:r>
          </w:p>
        </w:tc>
        <w:tc>
          <w:tcPr>
            <w:tcW w:w="4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Gross Profit Adjustments </w:t>
            </w:r>
            <w:r>
              <w:rPr>
                <w:rFonts w:ascii="Times New Roman" w:cs="Times New Roman" w:eastAsia="Times New Roman" w:hAnsi="Times New Roman"/>
                <w:sz w:val="23"/>
                <w:szCs w:val="23"/>
                <w:color w:val="auto"/>
                <w:vertAlign w:val="superscript"/>
              </w:rPr>
              <w:t>(i)</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2,217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1,810</w:t>
            </w:r>
          </w:p>
        </w:tc>
        <w:tc>
          <w:tcPr>
            <w:tcW w:w="4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GAAP Gross Margin</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57.3 %</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56.3 %</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Non-GAAP Gross Margin</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58.0 %</w:t>
            </w:r>
          </w:p>
        </w:tc>
        <w:tc>
          <w:tcPr>
            <w:tcW w:w="140" w:type="dxa"/>
            <w:vAlign w:val="bottom"/>
          </w:tcPr>
          <w:p>
            <w:pPr>
              <w:spacing w:after="0"/>
              <w:rPr>
                <w:sz w:val="21"/>
                <w:szCs w:val="21"/>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57.0 %</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Income (Loss)</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1,071</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893</w:t>
            </w: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Operating Income Adjustments </w:t>
            </w:r>
            <w:r>
              <w:rPr>
                <w:rFonts w:ascii="Times New Roman" w:cs="Times New Roman" w:eastAsia="Times New Roman" w:hAnsi="Times New Roman"/>
                <w:sz w:val="23"/>
                <w:szCs w:val="23"/>
                <w:color w:val="auto"/>
                <w:vertAlign w:val="superscript"/>
              </w:rPr>
              <w:t>(i)</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1,406</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1,228</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1,071</w:t>
            </w: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GAAP Operating Margin</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140" w:type="dxa"/>
            <w:vAlign w:val="bottom"/>
          </w:tcPr>
          <w:p>
            <w:pPr>
              <w:spacing w:after="0"/>
              <w:rPr>
                <w:sz w:val="21"/>
                <w:szCs w:val="21"/>
                <w:color w:val="auto"/>
              </w:rPr>
            </w:pP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28.1 %</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Non-GAAP Operating Margin</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35.1 %</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33.8 %</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GAAP Net Income (Loss) attributable to Stockholders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767</w:t>
            </w: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631</w:t>
            </w:r>
          </w:p>
        </w:tc>
        <w:tc>
          <w:tcPr>
            <w:tcW w:w="4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Net Income Adjustments </w:t>
            </w:r>
            <w:r>
              <w:rPr>
                <w:rFonts w:ascii="Times New Roman" w:cs="Times New Roman" w:eastAsia="Times New Roman" w:hAnsi="Times New Roman"/>
                <w:sz w:val="23"/>
                <w:szCs w:val="23"/>
                <w:color w:val="auto"/>
                <w:vertAlign w:val="superscript"/>
              </w:rPr>
              <w:t>(i)</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Attributable to Stockholders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w:t>
            </w: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790</w:t>
            </w:r>
          </w:p>
        </w:tc>
        <w:tc>
          <w:tcPr>
            <w:tcW w:w="4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GAAP diluted Net Income (Loss) per Share </w:t>
            </w:r>
            <w:r>
              <w:rPr>
                <w:rFonts w:ascii="Times New Roman" w:cs="Times New Roman" w:eastAsia="Times New Roman" w:hAnsi="Times New Roman"/>
                <w:sz w:val="23"/>
                <w:szCs w:val="23"/>
                <w:b w:val="1"/>
                <w:bCs w:val="1"/>
                <w:color w:val="auto"/>
                <w:vertAlign w:val="superscript"/>
              </w:rPr>
              <w:t>(ii)</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3.02</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2.48</w:t>
            </w: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Non-GAAP diluted Net Income (Loss) per Share </w:t>
            </w:r>
            <w:r>
              <w:rPr>
                <w:rFonts w:ascii="Times New Roman" w:cs="Times New Roman" w:eastAsia="Times New Roman" w:hAnsi="Times New Roman"/>
                <w:sz w:val="23"/>
                <w:szCs w:val="23"/>
                <w:b w:val="1"/>
                <w:bCs w:val="1"/>
                <w:color w:val="auto"/>
                <w:vertAlign w:val="superscript"/>
              </w:rPr>
              <w:t>(ii)</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4"/>
                <w:szCs w:val="24"/>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3.61</w:t>
            </w:r>
          </w:p>
        </w:tc>
        <w:tc>
          <w:tcPr>
            <w:tcW w:w="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3.11</w:t>
            </w:r>
          </w:p>
        </w:tc>
        <w:tc>
          <w:tcPr>
            <w:tcW w:w="4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20" w:type="dxa"/>
            <w:vAlign w:val="bottom"/>
          </w:tcPr>
          <w:p>
            <w:pPr>
              <w:spacing w:after="0"/>
              <w:rPr>
                <w:sz w:val="24"/>
                <w:szCs w:val="2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140" w:type="dxa"/>
            <w:vAlign w:val="bottom"/>
          </w:tcPr>
          <w:p>
            <w:pPr>
              <w:spacing w:after="0"/>
              <w:rPr>
                <w:sz w:val="19"/>
                <w:szCs w:val="19"/>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 - Q</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 - 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Automotive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1,837</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Industrial &amp; IoT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755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579</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Mobile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Comm. Infra. &amp; Other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6"/>
              </w:rPr>
              <w:t>452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DIO</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156</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DPO</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1"/>
                <w:szCs w:val="21"/>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DSO</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Cash Conversion Cycle</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129</w:t>
            </w:r>
          </w:p>
        </w:tc>
        <w:tc>
          <w:tcPr>
            <w:tcW w:w="140" w:type="dxa"/>
            <w:vAlign w:val="bottom"/>
          </w:tcPr>
          <w:p>
            <w:pPr>
              <w:spacing w:after="0"/>
              <w:rPr>
                <w:sz w:val="21"/>
                <w:szCs w:val="21"/>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Channel Inventory (weeks)</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4"/>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Gross Financial Leverage </w:t>
            </w:r>
            <w:r>
              <w:rPr>
                <w:rFonts w:ascii="Times New Roman" w:cs="Times New Roman" w:eastAsia="Times New Roman" w:hAnsi="Times New Roman"/>
                <w:sz w:val="23"/>
                <w:szCs w:val="23"/>
                <w:color w:val="auto"/>
                <w:vertAlign w:val="superscript"/>
              </w:rPr>
              <w:t>(iii)</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2.0x</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2.1x</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2.6x</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4"/>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Net Financial Leverage </w:t>
            </w:r>
            <w:r>
              <w:rPr>
                <w:rFonts w:ascii="Times New Roman" w:cs="Times New Roman" w:eastAsia="Times New Roman" w:hAnsi="Times New Roman"/>
                <w:sz w:val="23"/>
                <w:szCs w:val="23"/>
                <w:color w:val="auto"/>
                <w:vertAlign w:val="superscript"/>
              </w:rPr>
              <w:t>(iv)</w:t>
            </w: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1.3x</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1.5x</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1.8x</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Information for the Third Quarter 2026:</w:t>
      </w:r>
    </w:p>
    <w:p>
      <w:pPr>
        <w:spacing w:after="0" w:line="3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explanation of GAAP to non-GAAP adjustments, please see “Non-GAAP Financial Measures”.</w:t>
      </w:r>
    </w:p>
    <w:p>
      <w:pPr>
        <w:spacing w:after="0" w:line="9" w:lineRule="exact"/>
        <w:rPr>
          <w:rFonts w:ascii="Times New Roman" w:cs="Times New Roman" w:eastAsia="Times New Roman" w:hAnsi="Times New Roman"/>
          <w:sz w:val="18"/>
          <w:szCs w:val="18"/>
          <w:color w:val="auto"/>
        </w:rPr>
      </w:pPr>
    </w:p>
    <w:p>
      <w:pPr>
        <w:ind w:left="1300" w:hanging="320"/>
        <w:spacing w:after="0" w:line="23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Table 1 below for the weighted average number of diluted shares for the presented periods.</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financial leverage is defined as gross debt divided by trailing twelve months adjusted EBITDA.</w:t>
      </w:r>
    </w:p>
    <w:p>
      <w:pPr>
        <w:spacing w:after="0" w:line="7"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financial leverage is defined as net debt divided by trailing twelve months adjusted EBITDA.</w:t>
      </w: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60"/>
          </w:cols>
          <w:pgMar w:left="320" w:top="770"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Guidance for the Fourth Quarter 2026: ($ millions, except Per Share data) </w:t>
      </w:r>
      <w:r>
        <w:rPr>
          <w:rFonts w:ascii="Times New Roman" w:cs="Times New Roman" w:eastAsia="Times New Roman" w:hAnsi="Times New Roman"/>
          <w:sz w:val="23"/>
          <w:szCs w:val="23"/>
          <w:b w:val="1"/>
          <w:bCs w:val="1"/>
          <w:u w:val="single" w:color="auto"/>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non-GAAP</w:t>
            </w:r>
          </w:p>
        </w:tc>
        <w:tc>
          <w:tcPr>
            <w:tcW w:w="940" w:type="dxa"/>
            <w:vAlign w:val="bottom"/>
          </w:tcPr>
          <w:p>
            <w:pPr>
              <w:spacing w:after="0"/>
              <w:rPr>
                <w:sz w:val="20"/>
                <w:szCs w:val="20"/>
                <w:color w:val="auto"/>
              </w:rPr>
            </w:pPr>
          </w:p>
        </w:tc>
      </w:tr>
      <w:tr>
        <w:trPr>
          <w:trHeight w:val="236"/>
        </w:trPr>
        <w:tc>
          <w:tcPr>
            <w:tcW w:w="320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w:t>
            </w:r>
          </w:p>
        </w:tc>
        <w:tc>
          <w:tcPr>
            <w:tcW w:w="100" w:type="dxa"/>
            <w:vAlign w:val="bottom"/>
            <w:tcBorders>
              <w:top w:val="single" w:sz="8" w:color="auto"/>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Borders>
              <w:bottom w:val="single" w:sz="8" w:color="CCEEFF"/>
            </w:tcBorders>
          </w:tcPr>
          <w:p>
            <w:pPr>
              <w:spacing w:after="0"/>
              <w:rPr>
                <w:sz w:val="20"/>
                <w:szCs w:val="20"/>
                <w:color w:val="auto"/>
              </w:rPr>
            </w:pPr>
          </w:p>
        </w:tc>
        <w:tc>
          <w:tcPr>
            <w:tcW w:w="154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Mid</w:t>
            </w:r>
          </w:p>
        </w:tc>
        <w:tc>
          <w:tcPr>
            <w:tcW w:w="100" w:type="dxa"/>
            <w:vAlign w:val="bottom"/>
            <w:tcBorders>
              <w:top w:val="single" w:sz="8" w:color="auto"/>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3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$3,750</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$3,850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$3,950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$3,750</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$3,850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$3,950</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Q-Q</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$2,160</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$2,238</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$2,317</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$2,195</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$2,273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$2,352</w:t>
            </w:r>
          </w:p>
        </w:tc>
      </w:tr>
      <w:tr>
        <w:trPr>
          <w:trHeight w:val="24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57.6%</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58.7%</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58.5%</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59.5%</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$1,167</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$1,235</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$1,304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$(207)</w:t>
            </w: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$1,374</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$1,442</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$1,511</w:t>
            </w:r>
          </w:p>
        </w:tc>
      </w:tr>
      <w:tr>
        <w:trPr>
          <w:trHeight w:val="24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Income (expense)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r>
      <w:tr>
        <w:trPr>
          <w:trHeight w:val="24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rate</w:t>
            </w:r>
          </w:p>
        </w:tc>
        <w:tc>
          <w:tcPr>
            <w:tcW w:w="9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18.6%-19.6%</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17.0%-18.0%</w:t>
            </w:r>
          </w:p>
        </w:tc>
        <w:tc>
          <w:tcPr>
            <w:tcW w:w="940" w:type="dxa"/>
            <w:vAlign w:val="bottom"/>
            <w:shd w:val="clear" w:color="auto" w:fill="CCEEFF"/>
          </w:tcPr>
          <w:p>
            <w:pPr>
              <w:spacing w:after="0"/>
              <w:rPr>
                <w:sz w:val="21"/>
                <w:szCs w:val="21"/>
                <w:color w:val="auto"/>
              </w:rPr>
            </w:pP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Equity-accounted investees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43"/>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 diluted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253.8</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253.8</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253.8</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253.8</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253.8</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253.8</w:t>
            </w: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$3.36</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$3.57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$3.79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$4.14</w:t>
            </w:r>
          </w:p>
        </w:tc>
        <w:tc>
          <w:tcPr>
            <w:tcW w:w="10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$4.36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$4.58</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Additional Information:</w:t>
      </w:r>
    </w:p>
    <w:p>
      <w:pPr>
        <w:spacing w:after="0" w:line="24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Gross Profit is expected to include Purchase Price Accounting (“PPA”) effects, $(4) million; Share-based Compensation, $(15) million; Other Incidentals, $(16) million;</w:t>
      </w:r>
    </w:p>
    <w:p>
      <w:pPr>
        <w:spacing w:after="0" w:line="2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Operating Income (loss) is expected to include PPA effects, $(35) million; Share-based Compensation, $(132) million; Restructuring and Other Incidentals, $(40) million;</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Financial Income (expense) is expected to include Other financial expense $(10) million;</w:t>
      </w:r>
    </w:p>
    <w:p>
      <w:pPr>
        <w:spacing w:after="0" w:line="14"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Results relating to equity-accounted investees is expected to include results relating to non-foundry equity-accounted investees $(1) million;</w:t>
      </w:r>
    </w:p>
    <w:p>
      <w:pPr>
        <w:spacing w:after="0" w:line="4" w:lineRule="exact"/>
        <w:rPr>
          <w:rFonts w:ascii="Times New Roman" w:cs="Times New Roman" w:eastAsia="Times New Roman" w:hAnsi="Times New Roman"/>
          <w:sz w:val="14"/>
          <w:szCs w:val="14"/>
          <w:color w:val="auto"/>
        </w:rPr>
      </w:pPr>
    </w:p>
    <w:p>
      <w:pPr>
        <w:ind w:left="660" w:right="20" w:hanging="328"/>
        <w:spacing w:after="0" w:line="259" w:lineRule="auto"/>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diluted EPS is expected to include the adjustments noted above for PPA effects, Share-based Compensation, Restructuring and Other Incidentals in GAAP Operating Income (loss), the adjustment for Other financial expense, the adjustment for results relating to non-foundry equity-accounted investees and the adjustment on Tax due to the earlier mentioned adjustments.</w:t>
      </w:r>
    </w:p>
    <w:p>
      <w:pPr>
        <w:spacing w:after="0" w:line="20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NXP has based the guidance included in this release on judgments and estimates that management believes are reasonable given its assessment of historical trends and other information reasonably available as of the date of this release. Please note, the guidance included in this release consists of predictions only, and is subject to a wide range of known and unknown risks and uncertainties, many of which are beyond NXP's control. The guidance included in this release should not be regarded as representations by NXP that the estimated results will be achieved. Actual results may vary materially from the guidance we provide today. In relation to the use of non-GAAP financial information see the note regarding "Non-GAAP Financial Measures" below. For the factors, risks, and uncertainties to which judgments, estimates and forward-looking statements generally are subject see the note regarding "Forward-looking Statements." We undertake no obligation to publicly update or revise any forward-looking statements, including the guidance set forth herein, to reflect future events or circumstances</w:t>
      </w:r>
      <w:r>
        <w:rPr>
          <w:rFonts w:ascii="Times New Roman" w:cs="Times New Roman" w:eastAsia="Times New Roman" w:hAnsi="Times New Roman"/>
          <w:sz w:val="14"/>
          <w:szCs w:val="14"/>
          <w:i w:val="1"/>
          <w:iCs w:val="1"/>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Non-GAAP Financial Measures</w:t>
      </w:r>
    </w:p>
    <w:p>
      <w:pPr>
        <w:spacing w:after="0" w:line="24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managing NXP's business on a consolidated basis, management develops an annual operating plan, which is approved by our Board of Directors, using non-GAAP financial measures, that are not in accordance with, nor an alternative to, U.S. generally accepted accounting principles (“GAAP”). In measuring performance against this plan, management considers the actual or potential impacts on these non-GAAP financial measures from actions taken to reduce costs with the goal of increasing our gross margin and operating margin and when assessing appropriate levels of research and development efforts. In addition, management relies upon these non-GAAP financial measures when making decisions about product spending, administrative budgets, and other operating expenses. We believe that these non-GAAP financial measures, when coupled with the GAAP results and the reconciliations to corresponding GAAP financial measures, provide a more complete understanding of the Company’s results of operations and the factors and trends affecting NXP’s business. We believe that they enable investors to perform additional comparisons of our operating results, to assess our liquidity and capital position and to analyze financial performance excluding the effect of expenses unrelated to core operating performance, certain non-cash expenses and share-based compensation expense, which may obscure trends in NXP's underlying performance. This information also enables investors to compare financial results between periods where certain items may vary independent of business performance, and allow for greater transparency with respect to key metrics used by management.</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These non-GAAP financial measures are provided in addition to, and not as a substitute for, or superior to, measures of financial performance prepared in accordance with GAAP. The presentation of these and other similar items in NXP’s non-GAAP financial results should not be interpreted as implying that these items are non-recurring, infrequent, or unusual. Reconciliations of these non-GAAP measures to the most comparable measures calculated in accordance with GAAP are provided in the financial statements portion of this release in a schedule entitled “Financial Reconciliation of GAAP to non-GAAP Results (unaudited).” Please refer to the NXP Historic Financial Model file found on the Financial Information page of the Investor Relations section of our website at https://investors.nxp.com for additional information related to our rationale for using these non-GAAP financial measures, as well as the impact of these measures on the presentation of NXP's operations.</w:t>
      </w:r>
    </w:p>
    <w:p>
      <w:pPr>
        <w:spacing w:after="0" w:line="20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color w:val="auto"/>
        </w:rPr>
        <w:t>In addition to providing financial information on a basis consistent with GAAP, NXP also provides the following selected financial measures on a non-GAAP basis: (i) Gross profit, (ii) Gross margin, (iii) Research and development, (iv) Selling, general and administrative, (v) Other income, (vi) Operating income (loss), (vii) Operating margin, (viii) Financial Income (expense), (ix) Income tax benefit (provision), (x) Results relating to foundry equity-accounted investees, (xi) Net income (loss) attributable to stockholders, (xii) Earnings per Share - Diluted, (xiii) EBITDA, adjusted EBITDA and trailing 12 month adjusted EBITDA, and (xiv) free cash flow, trailing 12 month free cash flow and trailing 12 month free cash flow as a percent of Revenue. The non-GAAP information excludes, where applicable, the amortization of acquisition related intangible assets, the purchase accounting effect on inventory and property, plant and equipment, merger related costs (including integration</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20" w:top="764" w:right="359" w:bottom="1440" w:gutter="0" w:footer="0" w:header="0"/>
        </w:sectPr>
      </w:pPr>
    </w:p>
    <w:bookmarkStart w:id="6" w:name="page7"/>
    <w:bookmarkEnd w:id="6"/>
    <w:p>
      <w:pPr>
        <w:ind w:right="60"/>
        <w:spacing w:after="0" w:line="302" w:lineRule="auto"/>
        <w:rPr>
          <w:sz w:val="20"/>
          <w:szCs w:val="20"/>
          <w:color w:val="auto"/>
        </w:rPr>
      </w:pPr>
      <w:r>
        <w:rPr>
          <w:rFonts w:ascii="Times New Roman" w:cs="Times New Roman" w:eastAsia="Times New Roman" w:hAnsi="Times New Roman"/>
          <w:sz w:val="14"/>
          <w:szCs w:val="14"/>
          <w:color w:val="auto"/>
        </w:rPr>
        <w:t>costs), certain items related to divestitures, share-based compensation expense, restructuring and asset impairment charges, extinguishment of debt, foreign exchange gains and losses, income tax effect on adjustments described above and results from non-foundry equity-accounted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121"/>
        </w:rPr>
        <w:t>The difference in the benefit (provision) for income taxes between our GAAP and non-GAAP results relates to the income tax effects of the GAAP to non-GAAP adjustments that we make and</w:t>
      </w:r>
    </w:p>
    <w:p>
      <w:pPr>
        <w:spacing w:after="0" w:line="1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212121"/>
        </w:rPr>
        <w:t>the income tax effect of any discrete items that occur in the interim period. Discrete items primarily relate to unexpected tax events that may occur as these amounts cannot be forecasted (e.g., the impact of changes in tax law and/or rates, changes in estimates or resolved tax audits relating to prior year tax provisions, the excess or deficit tax effects on share-based compensation, etc.).</w:t>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Conference Call and Webcast Information</w:t>
      </w:r>
    </w:p>
    <w:p>
      <w:pPr>
        <w:spacing w:after="0" w:line="258"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4"/>
          <w:szCs w:val="14"/>
          <w:color w:val="auto"/>
        </w:rPr>
        <w:t>The company will host a conference call with the financial community on Tuesday, October 27, 2026 at 4:30 p.m. U.S. Eastern Daylight Time (EDT) to review the third quarter 2026 results in detail.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Interested parties may preregister to obtain a user-specific access code for the call </w:t>
      </w:r>
      <w:r>
        <w:rPr>
          <w:rFonts w:ascii="Times New Roman" w:cs="Times New Roman" w:eastAsia="Times New Roman" w:hAnsi="Times New Roman"/>
          <w:sz w:val="14"/>
          <w:szCs w:val="14"/>
          <w:color w:val="215BD6"/>
        </w:rPr>
        <w:t>here.</w:t>
      </w:r>
    </w:p>
    <w:p>
      <w:pPr>
        <w:spacing w:after="0" w:line="244"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4"/>
          <w:szCs w:val="14"/>
          <w:color w:val="auto"/>
        </w:rPr>
        <w:t>The call will be webcast and can be accessed from the NXP Investor Relations website at www.nxp.com. A replay of the call will be available on the NXP Investor Relations website within 24 hours of the actual call.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About NXP Semiconductors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NXP Semiconductors N.V. (NASDAQ: NXPI) is the trusted partner for innovative solutions in the automotive, industrial &amp; IoT, mobile, and communications infrastructure markets. NXP's</w:t>
      </w:r>
    </w:p>
    <w:p>
      <w:pPr>
        <w:spacing w:after="0" w:line="1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 xml:space="preserve">"Brighter Together" approach combines leading-edge technology with pioneering people to develop system solutions that make the connected world better, safer, and more secure. The company has operations in more than 30 countries and posted revenue of $12.27 billion in 2025. Find out more at </w:t>
      </w:r>
      <w:r>
        <w:rPr>
          <w:rFonts w:ascii="Times New Roman" w:cs="Times New Roman" w:eastAsia="Times New Roman" w:hAnsi="Times New Roman"/>
          <w:sz w:val="14"/>
          <w:szCs w:val="14"/>
          <w:color w:val="215BD6"/>
        </w:rPr>
        <w:t>www.nxp.com</w:t>
      </w:r>
      <w:r>
        <w:rPr>
          <w:rFonts w:ascii="Times New Roman" w:cs="Times New Roman" w:eastAsia="Times New Roman" w:hAnsi="Times New Roman"/>
          <w:sz w:val="14"/>
          <w:szCs w:val="14"/>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Forward-looking Statements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This document includes forward-looking statements which include statements regarding NXP’s business strategy, financial condition, results of operations, market data, as well as any other statements which are not historical facts. By their nature, forward-looking statements are subject to numerous factors, risks and uncertainties that could cause actual outcomes and results to be materially different from those projected. These factors, risks and uncertainties include the following: market demand and semiconductor industry conditions; our ability to successfully introduce new technologies and products; the demand for the goods into which our products are incorporated; recent changes in global trade policy including tariffs and related trade actions announced by the U.S., China and other countries, potential increase of barriers to international trade, including the imposition of new or increased tariffs, and resulting disruptions to our established supply chains; the impact of government actions and regulations, including as a result of executive orders, including restrictions on the export of products and technology; increasing and evolving cybersecurity threats and privacy risks; our ability to accurately estimate demand and match our production capacity accordingly or obtain supplies from third-party producers; our access to production from third-party outsourcing partners, and any events that might affect their business or our relationship with them; our ability to secure adequate and timely supply of equipment and materials from suppliers; our ability to avoid operational problems and product defects and, if such issues were to arise, to correct them quickly; our ability to form strategic partnerships and joint ventures and successfully cooperate with our strategic alliance partners; our ability to win competitive bid selection processes; our ability to develop products for use in our customers’ equipment and products; our ability to successfully hire and retain key management and senior product engineers; global hostilities, including the invasion of Ukraine by Russia and resulting regional instability, sanctions and any other retaliatory measures taken against Russia, and the continued hostilities and armed conflict in the Middle East including the ongoing military conflict involving Iran and the resulting disruption to energy markets, industrial gas supplies and global logistical routes, which could adversely impact the global supply chain, disrupt our operations or negatively impact the demand for our products in our primary end markets; our ability to maintain good relationships with our suppliers; our ability to integrate acquired businesses in an efficient and effective manner; our ability to generate sufficient cash, raise sufficient capital or refinance our debt at or before maturity to meet our debt service, research and development and capital investment requirements; and a change in tax laws could have an effect on our estimated effective tax rates. In addition, this document contains information concerning the semiconductor industry, our end markets and business generally, which is forward-looking in nature and is based on a variety of assumptions regarding the ways in which the semiconductor industry, our end markets and business will develop. NXP has based these assumptions on information currently available, if any one or more of these assumptions turn out to be incorrect, actual results may differ from those predicted. While NXP does not know what impact any such differences may have on its business, if there are such differences, its future results of operations and its financial condition could be materially adversely affected. Readers are cautioned not to place undue reliance on these forward-looking statements, which speak to results only as of the date the statements were made. Except for any ongoing obligation to disclose material information as required by the United States federal securities laws, NXP does not have any intention or obligation to publicly update or revise any forward-looking statements after we distribute this document, whether to reflect any future events or circumstances or otherwise. For a discussion of potential risks and uncertainties, please refer to the risk factors listed in our SEC filings. Copies of our SEC filings are available on our Investor Relations website, www.nxp.com/investor or from the SEC website, www.sec.gov.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ectPr>
          <w:pgSz w:w="11900" w:h="16838" w:orient="portrait"/>
          <w:cols w:equalWidth="0" w:num="1">
            <w:col w:w="11240"/>
          </w:cols>
          <w:pgMar w:left="320" w:top="765"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Palmer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jeff.palmer@nxp.com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+1 408 205 0687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Paige Iven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paige.iven@nxp.com</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+1 817 975 0602</w:t>
      </w:r>
    </w:p>
    <w:p>
      <w:pPr>
        <w:spacing w:after="0" w:line="200" w:lineRule="exact"/>
        <w:rPr>
          <w:sz w:val="20"/>
          <w:szCs w:val="20"/>
          <w:color w:val="auto"/>
        </w:rPr>
      </w:pPr>
    </w:p>
    <w:p>
      <w:pPr>
        <w:sectPr>
          <w:pgSz w:w="11900" w:h="16838" w:orient="portrait"/>
          <w:cols w:equalWidth="0" w:num="2">
            <w:col w:w="1620" w:space="720"/>
            <w:col w:w="8900"/>
          </w:cols>
          <w:pgMar w:left="320" w:top="765"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Lucarelli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mike.lucarelli@nxp.com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+1 617 943 6892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NXP-CORP</w:t>
      </w:r>
    </w:p>
    <w:p>
      <w:pPr>
        <w:sectPr>
          <w:pgSz w:w="11900" w:h="16838" w:orient="portrait"/>
          <w:cols w:equalWidth="0" w:num="1">
            <w:col w:w="11240"/>
          </w:cols>
          <w:pgMar w:left="320" w:top="7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76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NXP Semiconductors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6591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share data)</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w w:val="98"/>
              </w:rPr>
              <w:t>September 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0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90"/>
        </w:trPr>
        <w:tc>
          <w:tcPr>
            <w:tcW w:w="6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3,173</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1,787</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(892)</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income (expense):</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financial income (expense)</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2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795</w:t>
            </w: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Results relating to equity-accounted investees</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data:</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attributable to stockholders in $</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of common stock outstanding during the period (in thousands):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252,170</w:t>
            </w:r>
          </w:p>
        </w:tc>
        <w:tc>
          <w:tcPr>
            <w:tcW w:w="0" w:type="dxa"/>
            <w:vAlign w:val="bottom"/>
          </w:tcPr>
          <w:p>
            <w:pPr>
              <w:spacing w:after="0"/>
              <w:rPr>
                <w:sz w:val="1"/>
                <w:szCs w:val="1"/>
                <w:color w:val="auto"/>
              </w:rPr>
            </w:pPr>
          </w:p>
        </w:tc>
      </w:tr>
      <w:tr>
        <w:trPr>
          <w:trHeight w:val="23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254,310</w:t>
            </w:r>
          </w:p>
        </w:tc>
        <w:tc>
          <w:tcPr>
            <w:tcW w:w="0" w:type="dxa"/>
            <w:vAlign w:val="bottom"/>
          </w:tcPr>
          <w:p>
            <w:pPr>
              <w:spacing w:after="0"/>
              <w:rPr>
                <w:sz w:val="1"/>
                <w:szCs w:val="1"/>
                <w:color w:val="auto"/>
              </w:rPr>
            </w:pPr>
          </w:p>
        </w:tc>
      </w:tr>
      <w:tr>
        <w:trPr>
          <w:trHeight w:val="148"/>
        </w:trPr>
        <w:tc>
          <w:tcPr>
            <w:tcW w:w="6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7"/>
        </w:trPr>
        <w:tc>
          <w:tcPr>
            <w:tcW w:w="656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765"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NXP Semiconductors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in millions)</w:t>
            </w:r>
          </w:p>
        </w:tc>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180" w:type="dxa"/>
            <w:vAlign w:val="bottom"/>
            <w:gridSpan w:val="2"/>
          </w:tcPr>
          <w:p>
            <w:pPr>
              <w:jc w:val="right"/>
              <w:ind w:right="19"/>
              <w:spacing w:after="0" w:line="169"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5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0" w:type="dxa"/>
            <w:vAlign w:val="bottom"/>
          </w:tcPr>
          <w:p>
            <w:pPr>
              <w:spacing w:after="0"/>
              <w:rPr>
                <w:sz w:val="1"/>
                <w:szCs w:val="1"/>
                <w:color w:val="auto"/>
              </w:rPr>
            </w:pPr>
          </w:p>
        </w:tc>
      </w:tr>
      <w:tr>
        <w:trPr>
          <w:trHeight w:val="226"/>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deposits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43"/>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Assets held for sale</w:t>
            </w:r>
          </w:p>
        </w:tc>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8,509</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assets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227"/>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Identified intangible assets, net</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17,845</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26,354</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27"/>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liabilities-current</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3,583</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liabilities</w:t>
            </w:r>
          </w:p>
        </w:tc>
        <w:tc>
          <w:tcPr>
            <w:tcW w:w="3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26"/>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12,344</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Stockholders’ equity</w:t>
            </w: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10,045</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10,427</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3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26,354</w:t>
            </w:r>
          </w:p>
        </w:tc>
        <w:tc>
          <w:tcPr>
            <w:tcW w:w="0" w:type="dxa"/>
            <w:vAlign w:val="bottom"/>
          </w:tcPr>
          <w:p>
            <w:pPr>
              <w:spacing w:after="0"/>
              <w:rPr>
                <w:sz w:val="1"/>
                <w:szCs w:val="1"/>
                <w:color w:val="auto"/>
              </w:rPr>
            </w:pPr>
          </w:p>
        </w:tc>
      </w:tr>
      <w:tr>
        <w:trPr>
          <w:trHeight w:val="483"/>
        </w:trPr>
        <w:tc>
          <w:tcPr>
            <w:tcW w:w="4080" w:type="dxa"/>
            <w:vAlign w:val="bottom"/>
          </w:tcPr>
          <w:p>
            <w:pPr>
              <w:spacing w:after="0"/>
              <w:rPr>
                <w:sz w:val="24"/>
                <w:szCs w:val="24"/>
                <w:color w:val="auto"/>
              </w:rPr>
            </w:pPr>
          </w:p>
        </w:tc>
        <w:tc>
          <w:tcPr>
            <w:tcW w:w="3280" w:type="dxa"/>
            <w:vAlign w:val="bottom"/>
          </w:tcPr>
          <w:p>
            <w:pPr>
              <w:jc w:val="right"/>
              <w:ind w:right="1624"/>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6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NXP Semiconductors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Condensed 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2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180" w:type="dxa"/>
            <w:vAlign w:val="bottom"/>
            <w:gridSpan w:val="2"/>
          </w:tcPr>
          <w:p>
            <w:pPr>
              <w:jc w:val="right"/>
              <w:ind w:right="1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for) operating activities: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discount (premium) on debt, net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(gain) loss on sale of assets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Results relating to equity-accounted investees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equity securities, net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receivables and other current assets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decrease in other non-current assets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 differences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7"/>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items</w:t>
            </w:r>
          </w:p>
        </w:tc>
        <w:tc>
          <w:tcPr>
            <w:tcW w:w="2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for) operating activities</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identified intangible assets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 on property, plant and equipment</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disposals of property, plant and equipment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interests in businesses, net of cash acquired</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proceeds related to business disposition</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in short-term deposits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2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for) investing activities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(783)</w:t>
            </w:r>
          </w:p>
        </w:tc>
        <w:tc>
          <w:tcPr>
            <w:tcW w:w="0" w:type="dxa"/>
            <w:vAlign w:val="bottom"/>
          </w:tcPr>
          <w:p>
            <w:pPr>
              <w:spacing w:after="0"/>
              <w:rPr>
                <w:sz w:val="1"/>
                <w:szCs w:val="1"/>
                <w:color w:val="auto"/>
              </w:rPr>
            </w:pPr>
          </w:p>
        </w:tc>
      </w:tr>
      <w:tr>
        <w:trPr>
          <w:trHeight w:val="111"/>
        </w:trPr>
        <w:tc>
          <w:tcPr>
            <w:tcW w:w="500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long-term debt</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debt issuance costs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commercial paper notes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commercial paper notes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27"/>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 to common stockholders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2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 through stock plans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treasury shares and restricted stock unit withholdings</w:t>
            </w:r>
          </w:p>
        </w:tc>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6"/>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for) financing activities</w:t>
            </w:r>
          </w:p>
        </w:tc>
        <w:tc>
          <w:tcPr>
            <w:tcW w:w="2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changes in exchange rates on cash positions</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3,454</w:t>
            </w:r>
          </w:p>
        </w:tc>
        <w:tc>
          <w:tcPr>
            <w:tcW w:w="0" w:type="dxa"/>
            <w:vAlign w:val="bottom"/>
          </w:tcPr>
          <w:p>
            <w:pPr>
              <w:spacing w:after="0"/>
              <w:rPr>
                <w:sz w:val="1"/>
                <w:szCs w:val="1"/>
                <w:color w:val="auto"/>
              </w:rPr>
            </w:pPr>
          </w:p>
        </w:tc>
      </w:tr>
      <w:tr>
        <w:trPr>
          <w:trHeight w:val="91"/>
        </w:trPr>
        <w:tc>
          <w:tcPr>
            <w:tcW w:w="5000" w:type="dxa"/>
            <w:vAlign w:val="bottom"/>
            <w:shd w:val="clear" w:color="auto" w:fill="CCEEFF"/>
          </w:tcPr>
          <w:p>
            <w:pPr>
              <w:spacing w:after="0"/>
              <w:rPr>
                <w:sz w:val="7"/>
                <w:szCs w:val="7"/>
                <w:color w:val="auto"/>
              </w:rPr>
            </w:pPr>
          </w:p>
        </w:tc>
        <w:tc>
          <w:tcPr>
            <w:tcW w:w="236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000" w:type="dxa"/>
            <w:vAlign w:val="bottom"/>
          </w:tcPr>
          <w:p>
            <w:pPr>
              <w:spacing w:after="0"/>
              <w:rPr>
                <w:sz w:val="24"/>
                <w:szCs w:val="24"/>
                <w:color w:val="auto"/>
              </w:rPr>
            </w:pPr>
          </w:p>
        </w:tc>
        <w:tc>
          <w:tcPr>
            <w:tcW w:w="2360" w:type="dxa"/>
            <w:vAlign w:val="bottom"/>
          </w:tcPr>
          <w:p>
            <w:pPr>
              <w:jc w:val="right"/>
              <w:ind w:right="1624"/>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60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NXP Semiconductors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Financial Reconciliation of GAAP to non-GAAP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29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millions except share data)</w:t>
            </w:r>
          </w:p>
        </w:tc>
        <w:tc>
          <w:tcPr>
            <w:tcW w:w="2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00" w:type="dxa"/>
            <w:vAlign w:val="bottom"/>
            <w:vMerge w:val="restart"/>
          </w:tcPr>
          <w:p>
            <w:pPr>
              <w:spacing w:after="0"/>
              <w:rPr>
                <w:sz w:val="14"/>
                <w:szCs w:val="14"/>
                <w:color w:val="auto"/>
              </w:rPr>
            </w:pPr>
          </w:p>
        </w:tc>
        <w:tc>
          <w:tcPr>
            <w:tcW w:w="1180" w:type="dxa"/>
            <w:vAlign w:val="bottom"/>
            <w:gridSpan w:val="2"/>
          </w:tcPr>
          <w:p>
            <w:pPr>
              <w:jc w:val="right"/>
              <w:ind w:right="1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1,787</w:t>
            </w:r>
          </w:p>
        </w:tc>
        <w:tc>
          <w:tcPr>
            <w:tcW w:w="0" w:type="dxa"/>
            <w:vAlign w:val="bottom"/>
          </w:tcPr>
          <w:p>
            <w:pPr>
              <w:spacing w:after="0"/>
              <w:rPr>
                <w:sz w:val="1"/>
                <w:szCs w:val="1"/>
                <w:color w:val="auto"/>
              </w:rPr>
            </w:pPr>
          </w:p>
        </w:tc>
      </w:tr>
      <w:tr>
        <w:trPr>
          <w:trHeight w:val="227"/>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PPA Effects</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Non-GAAP Gross Profit</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Research and development</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0" w:type="dxa"/>
            <w:vAlign w:val="bottom"/>
          </w:tcPr>
          <w:p>
            <w:pPr>
              <w:spacing w:after="0"/>
              <w:rPr>
                <w:sz w:val="1"/>
                <w:szCs w:val="1"/>
                <w:color w:val="auto"/>
              </w:rPr>
            </w:pPr>
          </w:p>
        </w:tc>
      </w:tr>
      <w:tr>
        <w:trPr>
          <w:trHeight w:val="233"/>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6"/>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Non-GAAP Research and development</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Selling, general and administrative</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33"/>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PPA effects</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6"/>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Non-GAAP Selling, general and administrative</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99"/>
        </w:trPr>
        <w:tc>
          <w:tcPr>
            <w:tcW w:w="4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Other income (expense)</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Non-GAAP Other income (expense)</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9"/>
        </w:trPr>
        <w:tc>
          <w:tcPr>
            <w:tcW w:w="4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 (loss)</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0" w:type="dxa"/>
            <w:vAlign w:val="bottom"/>
          </w:tcPr>
          <w:p>
            <w:pPr>
              <w:spacing w:after="0"/>
              <w:rPr>
                <w:sz w:val="1"/>
                <w:szCs w:val="1"/>
                <w:color w:val="auto"/>
              </w:rPr>
            </w:pPr>
          </w:p>
        </w:tc>
      </w:tr>
      <w:tr>
        <w:trPr>
          <w:trHeight w:val="226"/>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PPA effects</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6"/>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7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Non-GAAP Operating income (loss)</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income (expense)</w:t>
            </w:r>
          </w:p>
        </w:tc>
        <w:tc>
          <w:tcPr>
            <w:tcW w:w="3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2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financial income (expense)</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Non-GAAP Financial income (expense)</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99"/>
        </w:trPr>
        <w:tc>
          <w:tcPr>
            <w:tcW w:w="4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Income tax benefit (provision)</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Income tax effect</w:t>
            </w:r>
          </w:p>
        </w:tc>
        <w:tc>
          <w:tcPr>
            <w:tcW w:w="2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Non-GAAP Income tax benefit (provision)</w:t>
            </w:r>
          </w:p>
        </w:tc>
        <w:tc>
          <w:tcPr>
            <w:tcW w:w="3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713"/>
        </w:trPr>
        <w:tc>
          <w:tcPr>
            <w:tcW w:w="4540" w:type="dxa"/>
            <w:vAlign w:val="bottom"/>
          </w:tcPr>
          <w:p>
            <w:pPr>
              <w:spacing w:after="0"/>
              <w:rPr>
                <w:sz w:val="24"/>
                <w:szCs w:val="24"/>
                <w:color w:val="auto"/>
              </w:rPr>
            </w:pPr>
          </w:p>
        </w:tc>
        <w:tc>
          <w:tcPr>
            <w:tcW w:w="2740" w:type="dxa"/>
            <w:vAlign w:val="bottom"/>
          </w:tcPr>
          <w:p>
            <w:pPr>
              <w:jc w:val="right"/>
              <w:ind w:right="1540"/>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765" w:right="49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029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millions except share data)</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280" w:type="dxa"/>
            <w:vAlign w:val="bottom"/>
          </w:tcPr>
          <w:p>
            <w:pPr>
              <w:spacing w:after="0"/>
              <w:rPr>
                <w:sz w:val="14"/>
                <w:szCs w:val="14"/>
                <w:color w:val="auto"/>
              </w:rPr>
            </w:pPr>
          </w:p>
        </w:tc>
        <w:tc>
          <w:tcPr>
            <w:tcW w:w="116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180" w:type="dxa"/>
            <w:vAlign w:val="bottom"/>
            <w:gridSpan w:val="2"/>
          </w:tcPr>
          <w:p>
            <w:pPr>
              <w:jc w:val="right"/>
              <w:ind w:right="1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7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Results relating to equity-accounted investees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260"/>
              <w:spacing w:after="0" w:line="233" w:lineRule="exact"/>
              <w:rPr>
                <w:sz w:val="20"/>
                <w:szCs w:val="20"/>
                <w:color w:val="auto"/>
              </w:rPr>
            </w:pPr>
            <w:r>
              <w:rPr>
                <w:rFonts w:ascii="Times New Roman" w:cs="Times New Roman" w:eastAsia="Times New Roman" w:hAnsi="Times New Roman"/>
                <w:sz w:val="16"/>
                <w:szCs w:val="16"/>
                <w:color w:val="auto"/>
              </w:rPr>
              <w:t>Results relating to equity-accounted investees, excluding Foundry investees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0"/>
        </w:trPr>
        <w:tc>
          <w:tcPr>
            <w:tcW w:w="7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Non-GAAP Results relating to equity-accounted investees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9"/>
        </w:trPr>
        <w:tc>
          <w:tcPr>
            <w:tcW w:w="7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attributable to stockholders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199"/>
        </w:trPr>
        <w:tc>
          <w:tcPr>
            <w:tcW w:w="7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attributable to stockholders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PPA Effects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6"/>
        </w:trPr>
        <w:tc>
          <w:tcPr>
            <w:tcW w:w="7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27"/>
        </w:trPr>
        <w:tc>
          <w:tcPr>
            <w:tcW w:w="7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incidentals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2"/>
        </w:trPr>
        <w:tc>
          <w:tcPr>
            <w:tcW w:w="7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adjustments: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financial income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6"/>
                <w:szCs w:val="16"/>
                <w:color w:val="auto"/>
              </w:rPr>
              <w:t>Results relating to equity-accounted investees, excluding Foundry investees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0"/>
        </w:trPr>
        <w:tc>
          <w:tcPr>
            <w:tcW w:w="7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Non-GAAP Net income (loss)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412"/>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per common share attributable to stockholders -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PPA Effects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26"/>
        </w:trPr>
        <w:tc>
          <w:tcPr>
            <w:tcW w:w="7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26"/>
        </w:trPr>
        <w:tc>
          <w:tcPr>
            <w:tcW w:w="7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incidentals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adjustments: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financial income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3"/>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effect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6"/>
                <w:szCs w:val="16"/>
                <w:color w:val="auto"/>
              </w:rPr>
              <w:t>Results relating to equity-accounted investees, excluding Foundry investees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Non-GAAP net income (loss) per common share attributable to stockholders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Additional Information:</w:t>
      </w:r>
    </w:p>
    <w:p>
      <w:pPr>
        <w:spacing w:after="0" w:line="55" w:lineRule="exact"/>
        <w:rPr>
          <w:sz w:val="20"/>
          <w:szCs w:val="20"/>
          <w:color w:val="auto"/>
        </w:rPr>
      </w:pPr>
    </w:p>
    <w:p>
      <w:pPr>
        <w:ind w:left="680" w:right="420" w:hanging="330"/>
        <w:spacing w:after="0" w:line="234" w:lineRule="auto"/>
        <w:tabs>
          <w:tab w:leader="none" w:pos="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adjust our results relating to equity-accounted investees for those results from investments over which NXP has significant influence, but not control, and whose business activities are not related to the core operating performance of NXP. Our equity-investments in foundry partners are part of our long-term core operating performance and accordingly those results comprise the Non-GAAP Results relating to equity-accounted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080"/>
          </w:cols>
          <w:pgMar w:left="320" w:top="839"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NXP Semiconductors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Adjusted EBITDA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620" w:type="dxa"/>
            <w:vAlign w:val="bottom"/>
            <w:tcBorders>
              <w:bottom w:val="single" w:sz="8" w:color="CCEEFF"/>
            </w:tcBorders>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646</w:t>
            </w:r>
          </w:p>
        </w:tc>
        <w:tc>
          <w:tcPr>
            <w:tcW w:w="0" w:type="dxa"/>
            <w:vAlign w:val="bottom"/>
          </w:tcPr>
          <w:p>
            <w:pPr>
              <w:spacing w:after="0"/>
              <w:rPr>
                <w:sz w:val="1"/>
                <w:szCs w:val="1"/>
                <w:color w:val="auto"/>
              </w:rPr>
            </w:pPr>
          </w:p>
        </w:tc>
      </w:tr>
      <w:tr>
        <w:trPr>
          <w:trHeight w:val="207"/>
        </w:trPr>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Reconciling items to EBITDA (Non-GAAP)</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Financial (income) expense</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27"/>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20" w:type="dxa"/>
            <w:vAlign w:val="bottom"/>
          </w:tcPr>
          <w:p>
            <w:pPr>
              <w:spacing w:after="0"/>
              <w:rPr>
                <w:sz w:val="19"/>
                <w:szCs w:val="19"/>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2"/>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impairment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2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 (Non-GAAP)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1,416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1,093</w:t>
            </w:r>
          </w:p>
        </w:tc>
        <w:tc>
          <w:tcPr>
            <w:tcW w:w="0" w:type="dxa"/>
            <w:vAlign w:val="bottom"/>
          </w:tcPr>
          <w:p>
            <w:pPr>
              <w:spacing w:after="0"/>
              <w:rPr>
                <w:sz w:val="1"/>
                <w:szCs w:val="1"/>
                <w:color w:val="auto"/>
              </w:rPr>
            </w:pPr>
          </w:p>
        </w:tc>
      </w:tr>
      <w:tr>
        <w:trPr>
          <w:trHeight w:val="207"/>
        </w:trPr>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Reconciling items to adjusted EBITDA (Non-GAAP)</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80" w:type="dxa"/>
            <w:vAlign w:val="bottom"/>
            <w:gridSpan w:val="2"/>
            <w:shd w:val="clear" w:color="auto" w:fill="CCEEFF"/>
          </w:tcPr>
          <w:p>
            <w:pPr>
              <w:ind w:left="180"/>
              <w:spacing w:after="0" w:line="233" w:lineRule="exact"/>
              <w:rPr>
                <w:sz w:val="20"/>
                <w:szCs w:val="20"/>
                <w:color w:val="auto"/>
              </w:rPr>
            </w:pPr>
            <w:r>
              <w:rPr>
                <w:rFonts w:ascii="Times New Roman" w:cs="Times New Roman" w:eastAsia="Times New Roman" w:hAnsi="Times New Roman"/>
                <w:sz w:val="16"/>
                <w:szCs w:val="16"/>
                <w:color w:val="auto"/>
              </w:rPr>
              <w:t>Results of equity-accounted investees, excluding Foundry investees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19"/>
                <w:szCs w:val="19"/>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Other incidental items</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1,369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1,232</w:t>
            </w: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Trailing twelve month adjusted EBITDA (Non-GAAP)</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5,421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5,106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w:t>
            </w:r>
          </w:p>
        </w:tc>
        <w:tc>
          <w:tcPr>
            <w:tcW w:w="0" w:type="dxa"/>
            <w:vAlign w:val="bottom"/>
          </w:tcPr>
          <w:p>
            <w:pPr>
              <w:spacing w:after="0"/>
              <w:rPr>
                <w:sz w:val="1"/>
                <w:szCs w:val="1"/>
                <w:color w:val="auto"/>
              </w:rPr>
            </w:pPr>
          </w:p>
        </w:tc>
      </w:tr>
      <w:tr>
        <w:trPr>
          <w:trHeight w:val="468"/>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Additional Information:</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Refer to Table 4 above for further information regarding the results relating to equity-accounted investees.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2. Excluding depreciation and impairment or amortization relating to:</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incidental items</w:t>
            </w:r>
          </w:p>
        </w:tc>
        <w:tc>
          <w:tcPr>
            <w:tcW w:w="1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6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June 28, 2026</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9"/>
              <w:spacing w:after="0" w:line="172"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0" w:type="dxa"/>
            <w:vAlign w:val="bottom"/>
          </w:tcPr>
          <w:p>
            <w:pPr>
              <w:spacing w:after="0"/>
              <w:rPr>
                <w:sz w:val="1"/>
                <w:szCs w:val="1"/>
                <w:color w:val="auto"/>
              </w:rPr>
            </w:pPr>
          </w:p>
        </w:tc>
      </w:tr>
      <w:tr>
        <w:trPr>
          <w:trHeight w:val="214"/>
        </w:trPr>
        <w:tc>
          <w:tcPr>
            <w:tcW w:w="620" w:type="dxa"/>
            <w:vAlign w:val="bottom"/>
            <w:tcBorders>
              <w:bottom w:val="single" w:sz="8" w:color="CCEEFF"/>
            </w:tcBorders>
          </w:tcPr>
          <w:p>
            <w:pPr>
              <w:spacing w:after="0"/>
              <w:rPr>
                <w:sz w:val="18"/>
                <w:szCs w:val="18"/>
                <w:color w:val="auto"/>
              </w:rPr>
            </w:pPr>
          </w:p>
        </w:tc>
        <w:tc>
          <w:tcPr>
            <w:tcW w:w="6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for)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585</w:t>
            </w: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capital expenditures on property, plant and equipment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2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509</w:t>
            </w: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Trailing twelve month non-GAAP 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1,924</w:t>
            </w:r>
          </w:p>
        </w:tc>
        <w:tc>
          <w:tcPr>
            <w:tcW w:w="0" w:type="dxa"/>
            <w:vAlign w:val="bottom"/>
          </w:tcPr>
          <w:p>
            <w:pPr>
              <w:spacing w:after="0"/>
              <w:rPr>
                <w:sz w:val="1"/>
                <w:szCs w:val="1"/>
                <w:color w:val="auto"/>
              </w:rPr>
            </w:pPr>
          </w:p>
        </w:tc>
      </w:tr>
      <w:tr>
        <w:trPr>
          <w:trHeight w:val="178"/>
        </w:trPr>
        <w:tc>
          <w:tcPr>
            <w:tcW w:w="69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Trailing twelve month non-GAAP free cash flow</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16 %</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 percent of Revenue</w:t>
            </w: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20" w:type="dxa"/>
            <w:vAlign w:val="bottom"/>
            <w:tcBorders>
              <w:bottom w:val="single" w:sz="8" w:color="auto"/>
            </w:tcBorders>
          </w:tcPr>
          <w:p>
            <w:pPr>
              <w:spacing w:after="0"/>
              <w:rPr>
                <w:sz w:val="12"/>
                <w:szCs w:val="12"/>
                <w:color w:val="auto"/>
              </w:rPr>
            </w:pPr>
          </w:p>
        </w:tc>
        <w:tc>
          <w:tcPr>
            <w:tcW w:w="6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3"/>
        </w:trPr>
        <w:tc>
          <w:tcPr>
            <w:tcW w:w="620" w:type="dxa"/>
            <w:vAlign w:val="bottom"/>
          </w:tcPr>
          <w:p>
            <w:pPr>
              <w:spacing w:after="0"/>
              <w:rPr>
                <w:sz w:val="24"/>
                <w:szCs w:val="24"/>
                <w:color w:val="auto"/>
              </w:rPr>
            </w:pPr>
          </w:p>
        </w:tc>
        <w:tc>
          <w:tcPr>
            <w:tcW w:w="6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Roman"/>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2026-10-27T15:30:43Z</dcterms:created>
  <dcterms:modified xsi:type="dcterms:W3CDTF">2026-10-27T15:30:43Z</dcterms:modified>
</cp:coreProperties>
</file>