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333-263732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NXP B.V.</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NXP FUNDING LLC</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NXP USA, Inc.</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Offers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168275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4" w:lineRule="exact"/>
        <w:rPr>
          <w:sz w:val="24"/>
          <w:szCs w:val="24"/>
          <w:color w:val="auto"/>
        </w:rPr>
      </w:pPr>
    </w:p>
    <w:p>
      <w:pPr>
        <w:jc w:val="center"/>
        <w:ind w:left="440" w:right="160"/>
        <w:spacing w:after="0" w:line="278" w:lineRule="auto"/>
        <w:rPr>
          <w:sz w:val="20"/>
          <w:szCs w:val="20"/>
          <w:color w:val="auto"/>
        </w:rPr>
      </w:pPr>
      <w:r>
        <w:rPr>
          <w:rFonts w:ascii="Arial" w:cs="Arial" w:eastAsia="Arial" w:hAnsi="Arial"/>
          <w:sz w:val="13"/>
          <w:szCs w:val="13"/>
          <w:b w:val="1"/>
          <w:bCs w:val="1"/>
          <w:color w:val="auto"/>
        </w:rPr>
        <w:t>Up to $500,000,000 2.700% Senior Notes due 2025 (the “Outstanding 2025 Notes”) for up to $500,000,000 2.700% Senior Notes due 2025 (the “New 2025 Notes”) that have been registered under the Securities Act of 1933, as amended (the “Securities Act”)</w:t>
      </w:r>
    </w:p>
    <w:p>
      <w:pPr>
        <w:spacing w:after="0" w:line="59" w:lineRule="exact"/>
        <w:rPr>
          <w:sz w:val="24"/>
          <w:szCs w:val="24"/>
          <w:color w:val="auto"/>
        </w:rPr>
      </w:pPr>
    </w:p>
    <w:p>
      <w:pPr>
        <w:jc w:val="center"/>
        <w:ind w:left="440" w:right="160"/>
        <w:spacing w:after="0" w:line="278" w:lineRule="auto"/>
        <w:rPr>
          <w:sz w:val="20"/>
          <w:szCs w:val="20"/>
          <w:color w:val="auto"/>
        </w:rPr>
      </w:pPr>
      <w:r>
        <w:rPr>
          <w:rFonts w:ascii="Arial" w:cs="Arial" w:eastAsia="Arial" w:hAnsi="Arial"/>
          <w:sz w:val="13"/>
          <w:szCs w:val="13"/>
          <w:b w:val="1"/>
          <w:bCs w:val="1"/>
          <w:color w:val="auto"/>
        </w:rPr>
        <w:t>Up to $750,000,000 3.875% Senior Notes due 2026 (the “Outstanding 2026 Notes”) for up to $750,000,000 3.875% Senior Notes due 2026 (the “New 2026 Notes”) that have been registered under the Securities Act</w:t>
      </w:r>
    </w:p>
    <w:p>
      <w:pPr>
        <w:spacing w:after="0" w:line="59" w:lineRule="exact"/>
        <w:rPr>
          <w:sz w:val="24"/>
          <w:szCs w:val="24"/>
          <w:color w:val="auto"/>
        </w:rPr>
      </w:pPr>
    </w:p>
    <w:p>
      <w:pPr>
        <w:jc w:val="center"/>
        <w:ind w:left="440" w:right="160"/>
        <w:spacing w:after="0" w:line="278" w:lineRule="auto"/>
        <w:rPr>
          <w:sz w:val="20"/>
          <w:szCs w:val="20"/>
          <w:color w:val="auto"/>
        </w:rPr>
      </w:pPr>
      <w:r>
        <w:rPr>
          <w:rFonts w:ascii="Arial" w:cs="Arial" w:eastAsia="Arial" w:hAnsi="Arial"/>
          <w:sz w:val="13"/>
          <w:szCs w:val="13"/>
          <w:b w:val="1"/>
          <w:bCs w:val="1"/>
          <w:color w:val="auto"/>
        </w:rPr>
        <w:t>Up to $500,000,000 3.150% Senior Notes due 2027 (the “Outstanding 2027 Notes”) for up to $500,000,000 3.150% Senior Notes due 2027 (the “New 2027 Notes”) that have been registered under the Securities Act</w:t>
      </w:r>
    </w:p>
    <w:p>
      <w:pPr>
        <w:spacing w:after="0" w:line="59" w:lineRule="exact"/>
        <w:rPr>
          <w:sz w:val="24"/>
          <w:szCs w:val="24"/>
          <w:color w:val="auto"/>
        </w:rPr>
      </w:pPr>
    </w:p>
    <w:p>
      <w:pPr>
        <w:jc w:val="center"/>
        <w:ind w:left="440" w:right="60"/>
        <w:spacing w:after="0" w:line="278" w:lineRule="auto"/>
        <w:rPr>
          <w:sz w:val="20"/>
          <w:szCs w:val="20"/>
          <w:color w:val="auto"/>
        </w:rPr>
      </w:pPr>
      <w:r>
        <w:rPr>
          <w:rFonts w:ascii="Arial" w:cs="Arial" w:eastAsia="Arial" w:hAnsi="Arial"/>
          <w:sz w:val="13"/>
          <w:szCs w:val="13"/>
          <w:b w:val="1"/>
          <w:bCs w:val="1"/>
          <w:color w:val="auto"/>
        </w:rPr>
        <w:t>Up to $1,000,000,000 4.300% Senior Notes due 2029 (the “Outstanding 2029 Notes”) for up to $1,000,000,000 4.300% Senior Notes due 2029 (the “New 2029 Notes”) that have been registered under the Securities Act</w:t>
      </w:r>
    </w:p>
    <w:p>
      <w:pPr>
        <w:spacing w:after="0" w:line="59" w:lineRule="exact"/>
        <w:rPr>
          <w:sz w:val="24"/>
          <w:szCs w:val="24"/>
          <w:color w:val="auto"/>
        </w:rPr>
      </w:pPr>
    </w:p>
    <w:p>
      <w:pPr>
        <w:jc w:val="center"/>
        <w:ind w:left="440" w:right="60"/>
        <w:spacing w:after="0" w:line="278" w:lineRule="auto"/>
        <w:rPr>
          <w:sz w:val="20"/>
          <w:szCs w:val="20"/>
          <w:color w:val="auto"/>
        </w:rPr>
      </w:pPr>
      <w:r>
        <w:rPr>
          <w:rFonts w:ascii="Arial" w:cs="Arial" w:eastAsia="Arial" w:hAnsi="Arial"/>
          <w:sz w:val="13"/>
          <w:szCs w:val="13"/>
          <w:b w:val="1"/>
          <w:bCs w:val="1"/>
          <w:color w:val="auto"/>
        </w:rPr>
        <w:t>Up to $1,000,000,000 3.400% Senior Notes due 2030 (the “Outstanding 2030 Notes”) for up to $1,000,000,000 3.400% Senior Notes due 2030 (the “New 2030 Notes”) that have been registered under the Securities Act</w:t>
      </w:r>
    </w:p>
    <w:p>
      <w:pPr>
        <w:spacing w:after="0" w:line="59" w:lineRule="exact"/>
        <w:rPr>
          <w:sz w:val="24"/>
          <w:szCs w:val="24"/>
          <w:color w:val="auto"/>
        </w:rPr>
      </w:pPr>
    </w:p>
    <w:p>
      <w:pPr>
        <w:jc w:val="center"/>
        <w:ind w:left="440" w:right="60"/>
        <w:spacing w:after="0" w:line="278" w:lineRule="auto"/>
        <w:rPr>
          <w:sz w:val="20"/>
          <w:szCs w:val="20"/>
          <w:color w:val="auto"/>
        </w:rPr>
      </w:pPr>
      <w:r>
        <w:rPr>
          <w:rFonts w:ascii="Arial" w:cs="Arial" w:eastAsia="Arial" w:hAnsi="Arial"/>
          <w:sz w:val="13"/>
          <w:szCs w:val="13"/>
          <w:b w:val="1"/>
          <w:bCs w:val="1"/>
          <w:color w:val="auto"/>
        </w:rPr>
        <w:t>Up to $1,000,000,000 2.500% Senior Notes due 2031 (the “Outstanding 2031 Notes”) for up to $1,000,000,000 2.500% Senior Notes due 2031 (the “New 2031 Notes”) that have been registered under the Securities Act</w:t>
      </w:r>
    </w:p>
    <w:p>
      <w:pPr>
        <w:spacing w:after="0" w:line="59" w:lineRule="exact"/>
        <w:rPr>
          <w:sz w:val="24"/>
          <w:szCs w:val="24"/>
          <w:color w:val="auto"/>
        </w:rPr>
      </w:pPr>
    </w:p>
    <w:p>
      <w:pPr>
        <w:jc w:val="center"/>
        <w:ind w:left="440" w:right="40"/>
        <w:spacing w:after="0" w:line="278" w:lineRule="auto"/>
        <w:rPr>
          <w:sz w:val="20"/>
          <w:szCs w:val="20"/>
          <w:color w:val="auto"/>
        </w:rPr>
      </w:pPr>
      <w:r>
        <w:rPr>
          <w:rFonts w:ascii="Arial" w:cs="Arial" w:eastAsia="Arial" w:hAnsi="Arial"/>
          <w:sz w:val="13"/>
          <w:szCs w:val="13"/>
          <w:b w:val="1"/>
          <w:bCs w:val="1"/>
          <w:color w:val="auto"/>
        </w:rPr>
        <w:t>Up to $1,000,000,000 2.650% Senior Notes due 2032 (the “Outstanding 2032 Notes”) for up to $1,000,000,000, 2.650% Senior Notes due 2032 (the “New 2032 Notes”) that have been registered under the Securities Act</w:t>
      </w:r>
    </w:p>
    <w:p>
      <w:pPr>
        <w:spacing w:after="0" w:line="59" w:lineRule="exact"/>
        <w:rPr>
          <w:sz w:val="24"/>
          <w:szCs w:val="24"/>
          <w:color w:val="auto"/>
        </w:rPr>
      </w:pPr>
    </w:p>
    <w:p>
      <w:pPr>
        <w:jc w:val="center"/>
        <w:ind w:left="440" w:right="60"/>
        <w:spacing w:after="0" w:line="278" w:lineRule="auto"/>
        <w:rPr>
          <w:sz w:val="20"/>
          <w:szCs w:val="20"/>
          <w:color w:val="auto"/>
        </w:rPr>
      </w:pPr>
      <w:r>
        <w:rPr>
          <w:rFonts w:ascii="Arial" w:cs="Arial" w:eastAsia="Arial" w:hAnsi="Arial"/>
          <w:sz w:val="13"/>
          <w:szCs w:val="13"/>
          <w:b w:val="1"/>
          <w:bCs w:val="1"/>
          <w:color w:val="auto"/>
        </w:rPr>
        <w:t>Up to $1,000,000,000 3.250% Senior Notes due 2041 (the “Outstanding 2041 Notes”) for up to $1,000,000,000 3.250% Senior Notes due 2041 (the “New 2041 Notes”) that have been registered under the Securities Act</w:t>
      </w:r>
    </w:p>
    <w:p>
      <w:pPr>
        <w:spacing w:after="0" w:line="59" w:lineRule="exact"/>
        <w:rPr>
          <w:sz w:val="24"/>
          <w:szCs w:val="24"/>
          <w:color w:val="auto"/>
        </w:rPr>
      </w:pPr>
    </w:p>
    <w:p>
      <w:pPr>
        <w:jc w:val="center"/>
        <w:ind w:left="440" w:right="160"/>
        <w:spacing w:after="0" w:line="278" w:lineRule="auto"/>
        <w:rPr>
          <w:sz w:val="20"/>
          <w:szCs w:val="20"/>
          <w:color w:val="auto"/>
        </w:rPr>
      </w:pPr>
      <w:r>
        <w:rPr>
          <w:rFonts w:ascii="Arial" w:cs="Arial" w:eastAsia="Arial" w:hAnsi="Arial"/>
          <w:sz w:val="13"/>
          <w:szCs w:val="13"/>
          <w:b w:val="1"/>
          <w:bCs w:val="1"/>
          <w:color w:val="auto"/>
        </w:rPr>
        <w:t>Up to $500,000,000 3.125% Senior Notes due 2042 (the “Outstanding 2042 Notes”) for up to $500,000,000 3.125% Senior Notes due 2042 (the “New 2042 Notes”) that have been registered under the Securities Act</w:t>
      </w:r>
    </w:p>
    <w:p>
      <w:pPr>
        <w:spacing w:after="0" w:line="59" w:lineRule="exact"/>
        <w:rPr>
          <w:sz w:val="24"/>
          <w:szCs w:val="24"/>
          <w:color w:val="auto"/>
        </w:rPr>
      </w:pPr>
    </w:p>
    <w:p>
      <w:pPr>
        <w:jc w:val="center"/>
        <w:ind w:left="420" w:right="20"/>
        <w:spacing w:after="0" w:line="279" w:lineRule="auto"/>
        <w:rPr>
          <w:sz w:val="20"/>
          <w:szCs w:val="20"/>
          <w:color w:val="auto"/>
        </w:rPr>
      </w:pPr>
      <w:r>
        <w:rPr>
          <w:rFonts w:ascii="Arial" w:cs="Arial" w:eastAsia="Arial" w:hAnsi="Arial"/>
          <w:sz w:val="12"/>
          <w:szCs w:val="12"/>
          <w:b w:val="1"/>
          <w:bCs w:val="1"/>
          <w:color w:val="auto"/>
        </w:rPr>
        <w:t>Up to $500,000,000 3.250% Senior Notes due 2051 (the “Outstanding 2051 Notes” and together with the Outstanding 2025 Notes, the Outstanding 2026 Notes, the Outstanding 2027 Notes, the Outstanding 2029 Notes, the Outstanding 2030 Notes, the Outstanding 2031 Notes, the Outstanding 2032 Notes, the Outstanding 2041 Notes, and the Outstanding 2042 Notes, the “Outstanding Notes”) for up to $500,000,000 3.250% Senior Notes due 2051 (the “New 2051 Notes” and together with the New 2025 Notes, the New 2026 Notes, the New 2027 Notes, the New 2029 Notes, the New 2030 Notes, the New 2031 Notes, the New 2032 Notes, the New 2041 Notes and the New 2042 Notes, the “New Notes”) that have been registered under the Securities Act</w:t>
      </w:r>
    </w:p>
    <w:p>
      <w:pPr>
        <w:spacing w:after="0" w:line="62" w:lineRule="exact"/>
        <w:rPr>
          <w:sz w:val="24"/>
          <w:szCs w:val="24"/>
          <w:color w:val="auto"/>
        </w:rPr>
      </w:pPr>
    </w:p>
    <w:p>
      <w:pPr>
        <w:ind w:left="120" w:right="40" w:firstLine="330"/>
        <w:spacing w:after="0" w:line="266" w:lineRule="auto"/>
        <w:rPr>
          <w:sz w:val="20"/>
          <w:szCs w:val="20"/>
          <w:color w:val="auto"/>
        </w:rPr>
      </w:pPr>
      <w:r>
        <w:rPr>
          <w:rFonts w:ascii="Arial" w:cs="Arial" w:eastAsia="Arial" w:hAnsi="Arial"/>
          <w:sz w:val="12"/>
          <w:szCs w:val="12"/>
          <w:color w:val="auto"/>
        </w:rPr>
        <w:t>We are offering to exchange up to $500,000,000 aggregate principal amount of our New 2025 Notes for a like aggregate principal amount of our Outstanding 2025 Notes, up to $750,000,000 aggregate principal amount of our New 2026 Notes for a like aggregate principal amount of our Outstanding 2026 Notes, up to $500,000,000 aggregate principal amount of our New 2027 Notes for a like aggregate principal amount of our Outstanding 2027 Notes, up to $1,000,000,000 aggregate principal amount of our New 2029 Notes for a like aggregate principal amount of our Outstanding 2029 Notes, up to $1,000,000,000 aggregate principal amount of our New 2030 Notes for a like aggregate principal amount of our Outstanding 2030 Notes, up to $1,000,000,000 aggregate principal amount of our New 2031 Notes for a like aggregate principal amount of our Outstanding 2031 Notes, up to $1,000,000,000 aggregate principal amount of our New 2032 Notes for a like aggregate principal amount of our Outstanding 2032 Notes, up to $1,000,000,000 aggregate principal amount of our New 2041 Notes for a like aggregate principal amount of our Outstanding 2041 Notes, up to $500,000,000 aggregate principal amount of our New 2042 Notes for a like aggregate principal amount of our Outstanding 2042 Notes, and up to $500,000,000 aggregate principal amount of our New 2051 Notes for a like aggregate principal amount of our Outstanding 2051 Notes in a transaction registered under the Securities Act (each, an “</w:t>
      </w:r>
      <w:r>
        <w:rPr>
          <w:rFonts w:ascii="Arial" w:cs="Arial" w:eastAsia="Arial" w:hAnsi="Arial"/>
          <w:sz w:val="12"/>
          <w:szCs w:val="12"/>
          <w:b w:val="1"/>
          <w:bCs w:val="1"/>
          <w:color w:val="auto"/>
        </w:rPr>
        <w:t>Exchange Offer</w:t>
      </w:r>
      <w:r>
        <w:rPr>
          <w:rFonts w:ascii="Arial" w:cs="Arial" w:eastAsia="Arial" w:hAnsi="Arial"/>
          <w:sz w:val="12"/>
          <w:szCs w:val="12"/>
          <w:color w:val="auto"/>
        </w:rPr>
        <w:t>” and collectively, the “</w:t>
      </w:r>
      <w:r>
        <w:rPr>
          <w:rFonts w:ascii="Arial" w:cs="Arial" w:eastAsia="Arial" w:hAnsi="Arial"/>
          <w:sz w:val="12"/>
          <w:szCs w:val="12"/>
          <w:b w:val="1"/>
          <w:bCs w:val="1"/>
          <w:color w:val="auto"/>
        </w:rPr>
        <w:t>Exchange Offers</w:t>
      </w:r>
      <w:r>
        <w:rPr>
          <w:rFonts w:ascii="Arial" w:cs="Arial" w:eastAsia="Arial" w:hAnsi="Arial"/>
          <w:sz w:val="12"/>
          <w:szCs w:val="12"/>
          <w:color w:val="auto"/>
        </w:rPr>
        <w:t>”).</w:t>
      </w:r>
    </w:p>
    <w:p>
      <w:pPr>
        <w:spacing w:after="0" w:line="70" w:lineRule="exact"/>
        <w:rPr>
          <w:sz w:val="24"/>
          <w:szCs w:val="24"/>
          <w:color w:val="auto"/>
        </w:rPr>
      </w:pPr>
    </w:p>
    <w:p>
      <w:pPr>
        <w:ind w:left="120" w:right="300" w:firstLine="330"/>
        <w:spacing w:after="0" w:line="258" w:lineRule="auto"/>
        <w:rPr>
          <w:sz w:val="20"/>
          <w:szCs w:val="20"/>
          <w:color w:val="auto"/>
        </w:rPr>
      </w:pPr>
      <w:r>
        <w:rPr>
          <w:rFonts w:ascii="Arial" w:cs="Arial" w:eastAsia="Arial" w:hAnsi="Arial"/>
          <w:sz w:val="13"/>
          <w:szCs w:val="13"/>
          <w:color w:val="auto"/>
        </w:rPr>
        <w:t>The Exchange Offers will expire at 5:00 p.m., New York, New York time, on May 12, 2022 (the “</w:t>
      </w:r>
      <w:r>
        <w:rPr>
          <w:rFonts w:ascii="Arial" w:cs="Arial" w:eastAsia="Arial" w:hAnsi="Arial"/>
          <w:sz w:val="13"/>
          <w:szCs w:val="13"/>
          <w:b w:val="1"/>
          <w:bCs w:val="1"/>
          <w:color w:val="auto"/>
        </w:rPr>
        <w:t>Expiration Date</w:t>
      </w:r>
      <w:r>
        <w:rPr>
          <w:rFonts w:ascii="Arial" w:cs="Arial" w:eastAsia="Arial" w:hAnsi="Arial"/>
          <w:sz w:val="13"/>
          <w:szCs w:val="13"/>
          <w:color w:val="auto"/>
        </w:rPr>
        <w:t>”), unless we extend the Exchange Offers with respect to any or all series of Outstanding Notes in our sole and absolute discretion. We will announce any extension by press release or other permitted means no later than 9:00 a.m. on the business day after the expiration of the Exchange Offers. You may withdraw any Outstanding Notes of any series tendered until the expiration of the applicable Exchange Offer.</w:t>
      </w:r>
    </w:p>
    <w:p>
      <w:pPr>
        <w:spacing w:after="0" w:line="73" w:lineRule="exact"/>
        <w:rPr>
          <w:sz w:val="24"/>
          <w:szCs w:val="24"/>
          <w:color w:val="auto"/>
        </w:rPr>
      </w:pPr>
    </w:p>
    <w:p>
      <w:pPr>
        <w:ind w:left="440"/>
        <w:spacing w:after="0"/>
        <w:rPr>
          <w:sz w:val="20"/>
          <w:szCs w:val="20"/>
          <w:color w:val="auto"/>
        </w:rPr>
      </w:pPr>
      <w:r>
        <w:rPr>
          <w:rFonts w:ascii="Arial" w:cs="Arial" w:eastAsia="Arial" w:hAnsi="Arial"/>
          <w:sz w:val="13"/>
          <w:szCs w:val="13"/>
          <w:color w:val="auto"/>
        </w:rPr>
        <w:t>Terms of the Exchange Offers:</w:t>
      </w:r>
    </w:p>
    <w:p>
      <w:pPr>
        <w:spacing w:after="0" w:line="121" w:lineRule="exact"/>
        <w:rPr>
          <w:sz w:val="24"/>
          <w:szCs w:val="24"/>
          <w:color w:val="auto"/>
        </w:rPr>
      </w:pPr>
    </w:p>
    <w:p>
      <w:pPr>
        <w:ind w:left="980" w:right="20" w:hanging="432"/>
        <w:spacing w:after="0" w:line="274" w:lineRule="auto"/>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will exchange the applicable series of New Notes for Outstanding Notes of the applicable series that are validly tendered and not withdrawn prior to the expiration or termination of the Exchange Offers with respect to such series.</w:t>
      </w:r>
    </w:p>
    <w:p>
      <w:pPr>
        <w:spacing w:after="0" w:line="77" w:lineRule="exact"/>
        <w:rPr>
          <w:rFonts w:ascii="Arial" w:cs="Arial" w:eastAsia="Arial" w:hAnsi="Arial"/>
          <w:sz w:val="13"/>
          <w:szCs w:val="13"/>
          <w:color w:val="auto"/>
        </w:rPr>
      </w:pPr>
    </w:p>
    <w:p>
      <w:pPr>
        <w:ind w:left="980" w:hanging="432"/>
        <w:spacing w:after="0"/>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You may validly withdraw tenders of Outstanding Notes of a series at any time prior to the expiration or termination of the Exchange Offers with respect to such series.</w:t>
      </w:r>
    </w:p>
    <w:p>
      <w:pPr>
        <w:spacing w:after="0" w:line="120" w:lineRule="exact"/>
        <w:rPr>
          <w:rFonts w:ascii="Arial" w:cs="Arial" w:eastAsia="Arial" w:hAnsi="Arial"/>
          <w:sz w:val="13"/>
          <w:szCs w:val="13"/>
          <w:color w:val="auto"/>
        </w:rPr>
      </w:pPr>
    </w:p>
    <w:p>
      <w:pPr>
        <w:ind w:left="980" w:right="80" w:hanging="432"/>
        <w:spacing w:after="0" w:line="256" w:lineRule="auto"/>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form and terms of the New Notes are substantially identical to the form and terms of the applicable Outstanding Notes, except that (i) the New Notes are registered under the Securities Act, (ii) the transfer restrictions and registration rights applicable to the Outstanding Notes do not apply to the New Notes and (iii) the New Notes will not have the right to earn additional interest under certain circumstances related to our registration obligations.</w:t>
      </w:r>
    </w:p>
    <w:p>
      <w:pPr>
        <w:spacing w:after="0" w:line="88" w:lineRule="exact"/>
        <w:rPr>
          <w:rFonts w:ascii="Arial" w:cs="Arial" w:eastAsia="Arial" w:hAnsi="Arial"/>
          <w:sz w:val="13"/>
          <w:szCs w:val="13"/>
          <w:color w:val="auto"/>
        </w:rPr>
      </w:pPr>
    </w:p>
    <w:p>
      <w:pPr>
        <w:ind w:left="980" w:hanging="432"/>
        <w:spacing w:after="0"/>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believe that the exchange of Outstanding Notes for New Notes will not be a taxable event for U.S. federal income tax purposes.</w:t>
      </w:r>
    </w:p>
    <w:p>
      <w:pPr>
        <w:spacing w:after="0" w:line="120" w:lineRule="exact"/>
        <w:rPr>
          <w:rFonts w:ascii="Arial" w:cs="Arial" w:eastAsia="Arial" w:hAnsi="Arial"/>
          <w:sz w:val="13"/>
          <w:szCs w:val="13"/>
          <w:color w:val="auto"/>
        </w:rPr>
      </w:pPr>
    </w:p>
    <w:p>
      <w:pPr>
        <w:ind w:left="980" w:hanging="432"/>
        <w:spacing w:after="0"/>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will not receive any proceeds from the Exchange Offers.</w:t>
      </w:r>
    </w:p>
    <w:p>
      <w:pPr>
        <w:spacing w:after="0" w:line="120" w:lineRule="exact"/>
        <w:rPr>
          <w:rFonts w:ascii="Arial" w:cs="Arial" w:eastAsia="Arial" w:hAnsi="Arial"/>
          <w:sz w:val="13"/>
          <w:szCs w:val="13"/>
          <w:color w:val="auto"/>
        </w:rPr>
      </w:pPr>
    </w:p>
    <w:p>
      <w:pPr>
        <w:ind w:left="980" w:right="40" w:hanging="432"/>
        <w:spacing w:after="0" w:line="274" w:lineRule="auto"/>
        <w:tabs>
          <w:tab w:leader="none" w:pos="98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issued the Outstanding Notes in transactions not requiring registration under the Securities Act, and as a result, their transfer is restricted. We are making the Exchange Offers to satisfy your registration rights, as a holder of the Outstanding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0" w:lineRule="exact"/>
        <w:rPr>
          <w:sz w:val="24"/>
          <w:szCs w:val="24"/>
          <w:color w:val="auto"/>
        </w:rPr>
      </w:pPr>
    </w:p>
    <w:p>
      <w:pPr>
        <w:jc w:val="both"/>
        <w:ind w:left="120" w:right="580" w:firstLine="440"/>
        <w:spacing w:after="0" w:line="243" w:lineRule="auto"/>
        <w:rPr>
          <w:rFonts w:ascii="Arial" w:cs="Arial" w:eastAsia="Arial" w:hAnsi="Arial"/>
          <w:sz w:val="15"/>
          <w:szCs w:val="15"/>
          <w:b w:val="1"/>
          <w:bCs w:val="1"/>
          <w:color w:val="auto"/>
        </w:rPr>
      </w:pPr>
      <w:r>
        <w:rPr>
          <w:rFonts w:ascii="Arial" w:cs="Arial" w:eastAsia="Arial" w:hAnsi="Arial"/>
          <w:sz w:val="15"/>
          <w:szCs w:val="15"/>
          <w:b w:val="1"/>
          <w:bCs w:val="1"/>
          <w:color w:val="auto"/>
        </w:rPr>
        <w:t>For a discussion of factors you should consider in determining whether to tender your Outstanding Notes in connection with the Exchange Offers, see the information under “</w:t>
      </w:r>
      <w:hyperlink w:anchor="page19">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13 of this prospectus and in our Annual Report on Form 10-K, which is incorporated by reference into this prospectus.</w:t>
      </w:r>
    </w:p>
    <w:p>
      <w:pPr>
        <w:spacing w:after="0" w:line="75" w:lineRule="exact"/>
        <w:rPr>
          <w:sz w:val="24"/>
          <w:szCs w:val="24"/>
          <w:color w:val="auto"/>
        </w:rPr>
      </w:pPr>
    </w:p>
    <w:p>
      <w:pPr>
        <w:ind w:left="120" w:right="400" w:firstLine="330"/>
        <w:spacing w:after="0" w:line="278" w:lineRule="auto"/>
        <w:rPr>
          <w:sz w:val="20"/>
          <w:szCs w:val="20"/>
          <w:color w:val="auto"/>
        </w:rPr>
      </w:pPr>
      <w:r>
        <w:rPr>
          <w:rFonts w:ascii="Arial" w:cs="Arial" w:eastAsia="Arial" w:hAnsi="Arial"/>
          <w:sz w:val="13"/>
          <w:szCs w:val="13"/>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The date of this prospectus is April 14, 2022.</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7"/>
          <w:szCs w:val="17"/>
          <w:b w:val="1"/>
          <w:bCs w:val="1"/>
          <w:color w:val="auto"/>
        </w:rPr>
        <w:t>You should read this document together with additional information described under the heading “Where You Can Find More Information and Incorporation By Reference.” You should rely only on the information contained or incorporated by reference in this prospectus. We have not authorized anyone to provide you with additional or different information. We are not making an offer to sell any series of securities in any state where the offer or sale is not permitted. You should not assume that the information we have included in this prospectus is accurate as of any date other than the date of this prospectus or that any information we have incorporated by reference is accurate as of any date other than the date of the document incorporated by reference. This prospectus does not constitute an offer, or an invitation on our behalf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7100" w:type="dxa"/>
            <w:vAlign w:val="bottom"/>
            <w:gridSpan w:val="10"/>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INDUSTRY AND MARKET DATA</w:t>
              </w:r>
            </w:hyperlink>
          </w:p>
        </w:tc>
        <w:tc>
          <w:tcPr>
            <w:tcW w:w="3860" w:type="dxa"/>
            <w:vAlign w:val="bottom"/>
          </w:tcPr>
          <w:p>
            <w:pPr>
              <w:jc w:val="right"/>
              <w:spacing w:after="0" w:line="190" w:lineRule="exact"/>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7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WHERE YOU CAN FIND MORE INFORMATION AND INCORPORATION BY REFERENCE</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4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CAUTIONARY STATEMENT CONCERNING FORWARD-LOOKING STATEMENTS</w:t>
              </w:r>
            </w:hyperlink>
          </w:p>
        </w:tc>
        <w:tc>
          <w:tcPr>
            <w:tcW w:w="640" w:type="dxa"/>
            <w:vAlign w:val="bottom"/>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710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INFORMATION REGARDING THE ISSUERS</w:t>
              </w:r>
            </w:hyperlink>
          </w:p>
        </w:tc>
        <w:tc>
          <w:tcPr>
            <w:tcW w:w="3600" w:type="dxa"/>
            <w:vAlign w:val="bottom"/>
            <w:gridSpan w:val="3"/>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100" w:type="dxa"/>
            <w:vAlign w:val="bottom"/>
            <w:gridSpan w:val="1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EXCHANGE OFFERS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5020" w:type="dxa"/>
            <w:vAlign w:val="bottom"/>
            <w:gridSpan w:val="5"/>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USE OF PROCEEDS</w:t>
              </w:r>
            </w:hyperlink>
          </w:p>
        </w:tc>
        <w:tc>
          <w:tcPr>
            <w:tcW w:w="5520" w:type="dxa"/>
            <w:vAlign w:val="bottom"/>
            <w:gridSpan w:val="6"/>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7100" w:type="dxa"/>
            <w:vAlign w:val="bottom"/>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THE EXCHANGE OFFERS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DESCRIPTION OF THE NEW NOTES AND THE NOTE GUARANTEE</w:t>
              </w:r>
            </w:hyperlink>
          </w:p>
        </w:tc>
        <w:tc>
          <w:tcPr>
            <w:tcW w:w="1680" w:type="dxa"/>
            <w:vAlign w:val="bottom"/>
            <w:gridSpan w:val="2"/>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710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PLAN OF DISTRIBUTION</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LEGAL MATTERS</w:t>
              </w:r>
            </w:hyperlink>
          </w:p>
        </w:tc>
        <w:tc>
          <w:tcPr>
            <w:tcW w:w="620" w:type="dxa"/>
            <w:vAlign w:val="bottom"/>
            <w:tcBorders>
              <w:top w:val="single" w:sz="8" w:color="0000EE"/>
            </w:tcBorders>
            <w:gridSpan w:val="2"/>
          </w:tcPr>
          <w:p>
            <w:pPr>
              <w:spacing w:after="0"/>
              <w:rPr>
                <w:sz w:val="17"/>
                <w:szCs w:val="17"/>
                <w:color w:val="auto"/>
              </w:rPr>
            </w:pPr>
          </w:p>
        </w:tc>
        <w:tc>
          <w:tcPr>
            <w:tcW w:w="5020" w:type="dxa"/>
            <w:vAlign w:val="bottom"/>
            <w:gridSpan w:val="5"/>
          </w:tcPr>
          <w:p>
            <w:pPr>
              <w:spacing w:after="0"/>
              <w:rPr>
                <w:sz w:val="17"/>
                <w:szCs w:val="17"/>
                <w:color w:val="auto"/>
              </w:rPr>
            </w:pPr>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710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EXPERTS</w:t>
              </w:r>
            </w:hyperlink>
          </w:p>
        </w:tc>
        <w:tc>
          <w:tcPr>
            <w:tcW w:w="38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No dealer, salesperson or other person is authorized to give any information or to represent anything not contained in or incorporated by reference into this prospectus. You must not rely on any unauthorized information or representations. This prospectus constitutes an offer only of the New Notes offered hereby, but only under circumstances and in jurisdictions where it is lawful to do so. The information contained or incorporated by reference into this prospectus is current only as of the respective dates of such documents. We are not making an offer of any securities in any jurisdiction where the offer is not permitted. You should not assume that the information in this prospectus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obtained market data and certain industry data and forecasts included in, or incorporated by reference into, this prospectus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or incorporated by reference in this prospectus.</w:t>
      </w:r>
    </w:p>
    <w:p>
      <w:pPr>
        <w:spacing w:after="0" w:line="361"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25"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NXP B.V. (the “</w:t>
      </w:r>
      <w:r>
        <w:rPr>
          <w:rFonts w:ascii="Arial" w:cs="Arial" w:eastAsia="Arial" w:hAnsi="Arial"/>
          <w:sz w:val="17"/>
          <w:szCs w:val="17"/>
          <w:b w:val="1"/>
          <w:bCs w:val="1"/>
          <w:color w:val="auto"/>
        </w:rPr>
        <w:t>Company</w:t>
      </w:r>
      <w:r>
        <w:rPr>
          <w:rFonts w:ascii="Arial" w:cs="Arial" w:eastAsia="Arial" w:hAnsi="Arial"/>
          <w:sz w:val="17"/>
          <w:szCs w:val="17"/>
          <w:color w:val="auto"/>
        </w:rPr>
        <w:t>”) and NXP Funding LLC and NXP USA, Inc. (together, the “Issuers”) are not currently subject to the periodic reporting and other information requirements of the U.S. Exchange Act. However, NXP Semiconductors N.V., the parent company of the Issuers, is subject to the informational and reporting requirements of the U.S. Exchange Act, and, in accordance therewith, files or furnishes annual, interim and current reports and other information with the SEC. The reports and other information filed or furnished by NXP Semiconductors N.V. with the SEC pursuant to the requirements of the U.S. Exchange Act may be viewed on the SEC’s website, http://www.sec.gov. The information contained on the SEC’s website is expressly not incorporated by reference into this prospectus.</w:t>
      </w:r>
    </w:p>
    <w:p>
      <w:pPr>
        <w:spacing w:after="0" w:line="17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The SEC allows us to disclose important information to you by referring you to other documents filed by NXP Semiconductors N.V. separately with the SEC. This information is considered to be a part of this prospectus, except for any information that is superseded by information included directly in this prospectus or incorporated by reference subsequent to the date of this prospectus as described below.</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prospectus incorporates by reference the documents listed below that NXP Semiconductors N.V. has previously filed with the SEC.</w:t>
      </w:r>
    </w:p>
    <w:p>
      <w:pPr>
        <w:spacing w:after="0" w:line="14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Form </w:t>
      </w:r>
      <w:hyperlink r:id="rId13">
        <w:r>
          <w:rPr>
            <w:rFonts w:ascii="Arial" w:cs="Arial" w:eastAsia="Arial" w:hAnsi="Arial"/>
            <w:sz w:val="18"/>
            <w:szCs w:val="18"/>
            <w:u w:val="single" w:color="auto"/>
            <w:color w:val="0000EE"/>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Current Reports on Form </w:t>
      </w:r>
      <w:hyperlink r:id="rId14">
        <w:r>
          <w:rPr>
            <w:rFonts w:ascii="Arial" w:cs="Arial" w:eastAsia="Arial" w:hAnsi="Arial"/>
            <w:sz w:val="18"/>
            <w:szCs w:val="18"/>
            <w:u w:val="single" w:color="auto"/>
            <w:color w:val="0000EE"/>
          </w:rPr>
          <w:t>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February 1, 2022; and</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portions of NXP Semiconductor N.V.’s </w:t>
      </w:r>
      <w:hyperlink r:id="rId15">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Schedule 14A filed with the SEC on April 11, 2022 that have been incorporated by reference into NXP Semiconductor N.V.’s Annual Report on Form </w:t>
      </w:r>
      <w:hyperlink r:id="rId13">
        <w:r>
          <w:rPr>
            <w:rFonts w:ascii="Arial" w:cs="Arial" w:eastAsia="Arial" w:hAnsi="Arial"/>
            <w:sz w:val="18"/>
            <w:szCs w:val="18"/>
            <w:u w:val="single" w:color="auto"/>
            <w:color w:val="0000EE"/>
          </w:rPr>
          <w:t>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w:t>
      </w:r>
    </w:p>
    <w:p>
      <w:pPr>
        <w:spacing w:after="0" w:line="184" w:lineRule="exact"/>
        <w:rPr>
          <w:rFonts w:ascii="Arial" w:cs="Arial" w:eastAsia="Arial" w:hAnsi="Arial"/>
          <w:sz w:val="18"/>
          <w:szCs w:val="18"/>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To the extent that any information contained in any report on Form 8-K, or any exhibit thereto, was furnished to, rather than filed with, the SEC, such information or exhibit is specifically not incorporated by reference.</w:t>
      </w:r>
    </w:p>
    <w:p>
      <w:pPr>
        <w:spacing w:after="0" w:line="170" w:lineRule="exact"/>
        <w:rPr>
          <w:rFonts w:ascii="Arial" w:cs="Arial" w:eastAsia="Arial" w:hAnsi="Arial"/>
          <w:sz w:val="18"/>
          <w:szCs w:val="18"/>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we incorporate by reference any future filings NXP Semiconductors N.V. makes with the SEC under Sections 13(a), 13(c), 14 and 15(d) of the Exchange Act after the date of this prospectus (excluding any current reports on Form 8-K to the extent disclosure is furnished and not filed). Those documents are considered to be a part of this prospectus, effective as of the date they are filed. Any statement contained in this prospectus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195" w:lineRule="exact"/>
        <w:rPr>
          <w:rFonts w:ascii="Arial" w:cs="Arial" w:eastAsia="Arial" w:hAnsi="Arial"/>
          <w:sz w:val="18"/>
          <w:szCs w:val="18"/>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You can obtain any of the other documents listed above from the SEC, through the SEC’s website at the address indicated above, or from us, without charge, by requesting them in writing or by telephone at the following address and telephone number. Please write or call us no later than five business days before the Expiration Date of the Exchange Offers. This means that you must request this information no later than May 5, 2022.</w:t>
      </w:r>
    </w:p>
    <w:p>
      <w:pPr>
        <w:spacing w:after="0" w:line="81"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9"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Mail:</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NXP Semiconductors N.V.</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 High Tech Campus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5656AG Eindhoven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+31 40 2729999</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NXP B.V.</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 High Tech Campus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5656AG Eindhoven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+31 40 2729960</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NXP USA,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251 Little Falls Drive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Wilmington, DE 19808</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+1 512 933 8214</w:t>
      </w:r>
    </w:p>
    <w:p>
      <w:pPr>
        <w:spacing w:after="0" w:line="143"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information presented in, or incorporated by reference into, this prospectus includes forward-looking statements, which are provided under the “safe harbor” protection of the Private Securities Litigation Reform Act of 1995. When used in, or incorporated by reference into, this prospectus, the words “anticipate,” “believe,” “estimate,” “forecast,” “expect,” “intend,” “plan” and “project” and similar expressions, as they relate to us, NXP Semiconductors N.V., our management or third parties, identify forward-looking statements. Forward-looking statements include statements regarding our business strategy, financial condition and results of operations, market data, as well as any other statements which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Readers are cautioned not to place undue reliance on these forward-looking statements.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the following:</w:t>
      </w:r>
    </w:p>
    <w:p>
      <w:pPr>
        <w:spacing w:after="0" w:line="8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and semiconductor industry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introduce new technologies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the goods into which our products are incorporated;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impacts of the COVID-19 pandemic;</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disputes between the U.S. and China, potential increase of barriers to international trade and resulting disruptions to our established supply chains;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raise sufficient capital or refinance our debt at or before maturity to meet both our debt service and research and development and capital investment requirements;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estimate demand and match our production capacity accordingly or obtain supplies from third-party producers;</w:t>
      </w:r>
    </w:p>
    <w:p>
      <w:pPr>
        <w:spacing w:after="0" w:line="153"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access to production from third-party outsourcing partners, and any events that might affect their business or our relationship with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adequate and timely supply of equipment and materials from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operational problems and product defects and, if such issues were to arise, to rectify them quickly;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form strategic partnerships and joint ventures and successfully cooperate with our alliance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win competitive bid selection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products for use in our customers’ equipment and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hire and retain key management and senior product engineers;</w:t>
      </w:r>
    </w:p>
    <w:p>
      <w:pPr>
        <w:spacing w:after="0" w:line="130" w:lineRule="exact"/>
        <w:rPr>
          <w:rFonts w:ascii="Arial" w:cs="Arial" w:eastAsia="Arial" w:hAnsi="Arial"/>
          <w:sz w:val="18"/>
          <w:szCs w:val="18"/>
          <w:color w:val="auto"/>
        </w:rPr>
      </w:pPr>
    </w:p>
    <w:p>
      <w:pPr>
        <w:jc w:val="both"/>
        <w:ind w:left="1080" w:right="3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this prospectus contains or incorporates by reference information concerning the semiconductor industry and our market and business segments generally, which is forward-looking in nature and is based on a variety of assumptions regarding the ways in which the semiconductor industry and our market and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segments will develop. We have based these assumptions on information currently available to us, including through the market research and industry reports referred to in this prospectus.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There can be no assurances that a pandemic, epidemic or outbreak of a contagious disease, such as COVID-19, will not have a material and adverse impact on our business, operating results and financial condition in the future. The uncertain nature, magnitude, and duration of hostilities stemming from Russia’s recent military invasion of Ukraine, including the potential effects of sanctions and retaliatory cyber-attacks on the world economy and markets, have contributed to increased market volatility and uncertainty, and such geopolitical risks could have an adverse impact on macroeconomic factors which affect our assets and businesses.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These and other factors are discussed in more detail under “Risk Factors” herein and in NXP Semiconductor N.V.’s annual report on Form 10-K for the year ended December 31, 2021, which is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except as required by law.</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78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or incorporated by reference in this prospectus. Because it is a summary, it does not contain all of the information that is important to you. You should read the entire prospectus, including the sections entitled “Risk Factors” and “Description of the New Notes and the Note Guarantee,” and all documents incorporated by reference herein carefully and in their entirety before deciding whether to exchange any Outstanding Notes for the applicable series of New Notes. Unless the context otherwise requires, all references herein to “we,” “our,” “us,” “NXP” and “the Company” are to the Company and its consolidated subsidiaries or to the Issuers, taken together, as the context requires.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00" w:right="80" w:firstLine="426"/>
        <w:spacing w:after="0" w:line="291" w:lineRule="auto"/>
        <w:rPr>
          <w:sz w:val="20"/>
          <w:szCs w:val="20"/>
          <w:color w:val="auto"/>
        </w:rPr>
      </w:pPr>
      <w:r>
        <w:rPr>
          <w:rFonts w:ascii="Arial" w:cs="Arial" w:eastAsia="Arial" w:hAnsi="Arial"/>
          <w:sz w:val="16"/>
          <w:szCs w:val="16"/>
          <w:color w:val="auto"/>
        </w:rPr>
        <w:t>We are a global semiconductor company and a long-standing supplier in the industry, with over 50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end-market applications including: automotive, industrial and Internet of Things, mobile, and communications infrastructure. We engage with leading global original equipment manufacturers (“OEMs”) and sell products in all major geographic regions. As of December 31, 2021 we had approximately 31,000 employees, with research and development activities and manufacturing facilities in Asia, Europe and the United States.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 the year ended December 31, 2021, we generated revenue of $11,063 million and operating income of $2,583 million.</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REGARDING THE ISSUERS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NXP B.V. was incorporated in the Netherlands as a Dutch private company with limited liability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aansprakelijkheid</w:t>
      </w:r>
      <w:r>
        <w:rPr>
          <w:rFonts w:ascii="Arial" w:cs="Arial" w:eastAsia="Arial" w:hAnsi="Arial"/>
          <w:sz w:val="18"/>
          <w:szCs w:val="18"/>
          <w:color w:val="auto"/>
        </w:rPr>
        <w:t>) on December 21, 1990 as a wholly owned subsidiary of Koninklijke Philips N.V. (“Philips”). On September 29, 2006,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“Formation.”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NXP Funding LLC is a wholly owned subsidiary of the Company that was formed in Delaware as a limited liability company on September 11,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2006. The address of NXP Funding’s registered office in Delaware is 251 Little Falls Drive, Wilmington, DE 19808 and its telephone number is +1 512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933 8214.</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NXP USA, Inc. is a wholly owned, indirect subsidiary of the Company that was incorporated in Delaware as a corporation on December 3, 2003.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address of NXP USA’s registered office in Delaware is 251 Little Falls Drive, Wilmington, DE 19808 and its telephone number is +1 512 933 8214.</w:t>
      </w:r>
    </w:p>
    <w:p>
      <w:pPr>
        <w:spacing w:after="0" w:line="23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August 5, 2010, NXP Semiconductors N.V., the holding company of the Issuers and a guarantor of the New Notes completed an initial public offering and listed on the NASDAQ Global Select Market.</w:t>
      </w:r>
    </w:p>
    <w:p>
      <w:pPr>
        <w:spacing w:after="0" w:line="170" w:lineRule="exact"/>
        <w:rPr>
          <w:sz w:val="20"/>
          <w:szCs w:val="20"/>
          <w:color w:val="auto"/>
        </w:rPr>
      </w:pPr>
    </w:p>
    <w:p>
      <w:pPr>
        <w:jc w:val="center"/>
        <w:ind w:left="740" w:right="140"/>
        <w:spacing w:after="0" w:line="449" w:lineRule="auto"/>
        <w:rPr>
          <w:sz w:val="20"/>
          <w:szCs w:val="20"/>
          <w:color w:val="auto"/>
        </w:rPr>
      </w:pPr>
      <w:r>
        <w:rPr>
          <w:rFonts w:ascii="Arial" w:cs="Arial" w:eastAsia="Arial" w:hAnsi="Arial"/>
          <w:sz w:val="18"/>
          <w:szCs w:val="18"/>
          <w:color w:val="auto"/>
        </w:rPr>
        <w:t>NXP Semiconductors N.V.’s website is at http://www.nxp.com. The information and other content on our website are not part of this prospectus. 2</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chart reflects our corporate structure and our principal indebtedness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077585" cy="342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07758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right="300" w:hanging="424"/>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and NXP Funding entered into the Revolving Credit Agreement on June 11, 2019. As of December 31, 2021, the Company and NXP Funding did not have any borrowings outstanding under the Revolving Credit Facility.</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and NXP Funding have also issued dollar-denominated 4.625% senior unsecured notes due 2023 (the “</w:t>
      </w:r>
      <w:r>
        <w:rPr>
          <w:rFonts w:ascii="Arial" w:cs="Arial" w:eastAsia="Arial" w:hAnsi="Arial"/>
          <w:sz w:val="16"/>
          <w:szCs w:val="16"/>
          <w:b w:val="1"/>
          <w:bCs w:val="1"/>
          <w:color w:val="auto"/>
        </w:rPr>
        <w:t>4.625% 2023 Notes</w:t>
      </w:r>
      <w:r>
        <w:rPr>
          <w:rFonts w:ascii="Arial" w:cs="Arial" w:eastAsia="Arial" w:hAnsi="Arial"/>
          <w:sz w:val="16"/>
          <w:szCs w:val="16"/>
          <w:color w:val="auto"/>
        </w:rPr>
        <w:t>”), dollar-denominated 4.875% Senior Notes due 2024 (the “</w:t>
      </w:r>
      <w:r>
        <w:rPr>
          <w:rFonts w:ascii="Arial" w:cs="Arial" w:eastAsia="Arial" w:hAnsi="Arial"/>
          <w:sz w:val="16"/>
          <w:szCs w:val="16"/>
          <w:b w:val="1"/>
          <w:bCs w:val="1"/>
          <w:color w:val="auto"/>
        </w:rPr>
        <w:t>4.875% 2024 Notes</w:t>
      </w:r>
      <w:r>
        <w:rPr>
          <w:rFonts w:ascii="Arial" w:cs="Arial" w:eastAsia="Arial" w:hAnsi="Arial"/>
          <w:sz w:val="16"/>
          <w:szCs w:val="16"/>
          <w:color w:val="auto"/>
        </w:rPr>
        <w:t>”), dollar-denominated 2.700% senior unsecured notes due 2025 (the “</w:t>
      </w:r>
      <w:r>
        <w:rPr>
          <w:rFonts w:ascii="Arial" w:cs="Arial" w:eastAsia="Arial" w:hAnsi="Arial"/>
          <w:sz w:val="16"/>
          <w:szCs w:val="16"/>
          <w:b w:val="1"/>
          <w:bCs w:val="1"/>
          <w:color w:val="auto"/>
        </w:rPr>
        <w:t>2.700% 2025 Notes</w:t>
      </w:r>
      <w:r>
        <w:rPr>
          <w:rFonts w:ascii="Arial" w:cs="Arial" w:eastAsia="Arial" w:hAnsi="Arial"/>
          <w:sz w:val="16"/>
          <w:szCs w:val="16"/>
          <w:color w:val="auto"/>
        </w:rPr>
        <w:t>”), dollar-denominated 5.350% senior unsecured notes due 2026 (the “</w:t>
      </w:r>
      <w:r>
        <w:rPr>
          <w:rFonts w:ascii="Arial" w:cs="Arial" w:eastAsia="Arial" w:hAnsi="Arial"/>
          <w:sz w:val="16"/>
          <w:szCs w:val="16"/>
          <w:b w:val="1"/>
          <w:bCs w:val="1"/>
          <w:color w:val="auto"/>
        </w:rPr>
        <w:t>5.350% 2026 Notes</w:t>
      </w:r>
      <w:r>
        <w:rPr>
          <w:rFonts w:ascii="Arial" w:cs="Arial" w:eastAsia="Arial" w:hAnsi="Arial"/>
          <w:sz w:val="16"/>
          <w:szCs w:val="16"/>
          <w:color w:val="auto"/>
        </w:rPr>
        <w:t>”), dollar-denominated 3.875% senior unsecured notes due 2026 (the “</w:t>
      </w:r>
      <w:r>
        <w:rPr>
          <w:rFonts w:ascii="Arial" w:cs="Arial" w:eastAsia="Arial" w:hAnsi="Arial"/>
          <w:sz w:val="16"/>
          <w:szCs w:val="16"/>
          <w:b w:val="1"/>
          <w:bCs w:val="1"/>
          <w:color w:val="auto"/>
        </w:rPr>
        <w:t>3.875% 2026 Notes</w:t>
      </w:r>
      <w:r>
        <w:rPr>
          <w:rFonts w:ascii="Arial" w:cs="Arial" w:eastAsia="Arial" w:hAnsi="Arial"/>
          <w:sz w:val="16"/>
          <w:szCs w:val="16"/>
          <w:color w:val="auto"/>
        </w:rPr>
        <w:t>”), dollar-denominated 3.150% senior unsecured notes due 2027 (the “</w:t>
      </w:r>
      <w:r>
        <w:rPr>
          <w:rFonts w:ascii="Arial" w:cs="Arial" w:eastAsia="Arial" w:hAnsi="Arial"/>
          <w:sz w:val="16"/>
          <w:szCs w:val="16"/>
          <w:b w:val="1"/>
          <w:bCs w:val="1"/>
          <w:color w:val="auto"/>
        </w:rPr>
        <w:t>3.150% 2027</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dollar-denominated 5.550% senior unsecured notes due 2028 (the “</w:t>
      </w:r>
      <w:r>
        <w:rPr>
          <w:rFonts w:ascii="Arial" w:cs="Arial" w:eastAsia="Arial" w:hAnsi="Arial"/>
          <w:sz w:val="16"/>
          <w:szCs w:val="16"/>
          <w:b w:val="1"/>
          <w:bCs w:val="1"/>
          <w:color w:val="auto"/>
        </w:rPr>
        <w:t>5.550% 2028 Notes</w:t>
      </w:r>
      <w:r>
        <w:rPr>
          <w:rFonts w:ascii="Arial" w:cs="Arial" w:eastAsia="Arial" w:hAnsi="Arial"/>
          <w:sz w:val="16"/>
          <w:szCs w:val="16"/>
          <w:color w:val="auto"/>
        </w:rPr>
        <w:t>” and together with the 4.875% 2024 Notes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5.350% 2026 Notes, the “</w:t>
      </w:r>
      <w:r>
        <w:rPr>
          <w:rFonts w:ascii="Arial" w:cs="Arial" w:eastAsia="Arial" w:hAnsi="Arial"/>
          <w:sz w:val="16"/>
          <w:szCs w:val="16"/>
          <w:b w:val="1"/>
          <w:bCs w:val="1"/>
          <w:color w:val="auto"/>
        </w:rPr>
        <w:t>December 2018 Notes</w:t>
      </w:r>
      <w:r>
        <w:rPr>
          <w:rFonts w:ascii="Arial" w:cs="Arial" w:eastAsia="Arial" w:hAnsi="Arial"/>
          <w:sz w:val="16"/>
          <w:szCs w:val="16"/>
          <w:color w:val="auto"/>
        </w:rPr>
        <w:t>”), dollar-denominated 4.300% senior unsecured notes due 2029 (the “</w:t>
      </w:r>
      <w:r>
        <w:rPr>
          <w:rFonts w:ascii="Arial" w:cs="Arial" w:eastAsia="Arial" w:hAnsi="Arial"/>
          <w:sz w:val="16"/>
          <w:szCs w:val="16"/>
          <w:b w:val="1"/>
          <w:bCs w:val="1"/>
          <w:color w:val="auto"/>
        </w:rPr>
        <w:t>4.300% 2029 Notes</w:t>
      </w:r>
      <w:r>
        <w:rPr>
          <w:rFonts w:ascii="Arial" w:cs="Arial" w:eastAsia="Arial" w:hAnsi="Arial"/>
          <w:sz w:val="16"/>
          <w:szCs w:val="16"/>
          <w:color w:val="auto"/>
        </w:rPr>
        <w:t>” and together with the 3.875% 2026 Notes, the “</w:t>
      </w:r>
      <w:r>
        <w:rPr>
          <w:rFonts w:ascii="Arial" w:cs="Arial" w:eastAsia="Arial" w:hAnsi="Arial"/>
          <w:sz w:val="16"/>
          <w:szCs w:val="16"/>
          <w:b w:val="1"/>
          <w:bCs w:val="1"/>
          <w:color w:val="auto"/>
        </w:rPr>
        <w:t>June 2019 Notes</w:t>
      </w:r>
      <w:r>
        <w:rPr>
          <w:rFonts w:ascii="Arial" w:cs="Arial" w:eastAsia="Arial" w:hAnsi="Arial"/>
          <w:sz w:val="16"/>
          <w:szCs w:val="16"/>
          <w:color w:val="auto"/>
        </w:rPr>
        <w:t>”), dollar-denominated 3.400% senior unsecured notes due 2030 (the “</w:t>
      </w:r>
      <w:r>
        <w:rPr>
          <w:rFonts w:ascii="Arial" w:cs="Arial" w:eastAsia="Arial" w:hAnsi="Arial"/>
          <w:sz w:val="16"/>
          <w:szCs w:val="16"/>
          <w:b w:val="1"/>
          <w:bCs w:val="1"/>
          <w:color w:val="auto"/>
        </w:rPr>
        <w:t>3.400%</w:t>
      </w:r>
      <w:r>
        <w:rPr>
          <w:rFonts w:ascii="Arial" w:cs="Arial" w:eastAsia="Arial" w:hAnsi="Arial"/>
          <w:sz w:val="16"/>
          <w:szCs w:val="16"/>
          <w:color w:val="auto"/>
        </w:rPr>
        <w:t xml:space="preserve"> </w:t>
      </w:r>
      <w:r>
        <w:rPr>
          <w:rFonts w:ascii="Arial" w:cs="Arial" w:eastAsia="Arial" w:hAnsi="Arial"/>
          <w:sz w:val="16"/>
          <w:szCs w:val="16"/>
          <w:b w:val="1"/>
          <w:bCs w:val="1"/>
          <w:color w:val="auto"/>
        </w:rPr>
        <w:t>2030 Notes</w:t>
      </w:r>
      <w:r>
        <w:rPr>
          <w:rFonts w:ascii="Arial" w:cs="Arial" w:eastAsia="Arial" w:hAnsi="Arial"/>
          <w:sz w:val="16"/>
          <w:szCs w:val="16"/>
          <w:color w:val="auto"/>
        </w:rPr>
        <w:t>” and together the 3.150% 2027 Notes and the 2.700% 2025 Notes, the “</w:t>
      </w:r>
      <w:r>
        <w:rPr>
          <w:rFonts w:ascii="Arial" w:cs="Arial" w:eastAsia="Arial" w:hAnsi="Arial"/>
          <w:sz w:val="16"/>
          <w:szCs w:val="16"/>
          <w:b w:val="1"/>
          <w:bCs w:val="1"/>
          <w:color w:val="auto"/>
        </w:rPr>
        <w:t>May 2020 Notes</w:t>
      </w:r>
      <w:r>
        <w:rPr>
          <w:rFonts w:ascii="Arial" w:cs="Arial" w:eastAsia="Arial" w:hAnsi="Arial"/>
          <w:sz w:val="16"/>
          <w:szCs w:val="16"/>
          <w:color w:val="auto"/>
        </w:rPr>
        <w:t>”), dollar-denominated 2.500% senior</w:t>
      </w:r>
      <w:r>
        <w:rPr>
          <w:rFonts w:ascii="Arial" w:cs="Arial" w:eastAsia="Arial" w:hAnsi="Arial"/>
          <w:sz w:val="16"/>
          <w:szCs w:val="16"/>
          <w:b w:val="1"/>
          <w:bCs w:val="1"/>
          <w:color w:val="auto"/>
        </w:rPr>
        <w:t xml:space="preserve"> </w:t>
      </w:r>
      <w:r>
        <w:rPr>
          <w:rFonts w:ascii="Arial" w:cs="Arial" w:eastAsia="Arial" w:hAnsi="Arial"/>
          <w:sz w:val="16"/>
          <w:szCs w:val="16"/>
          <w:color w:val="auto"/>
        </w:rPr>
        <w:t>unsecured notes due 2031 (the “</w:t>
      </w:r>
      <w:r>
        <w:rPr>
          <w:rFonts w:ascii="Arial" w:cs="Arial" w:eastAsia="Arial" w:hAnsi="Arial"/>
          <w:sz w:val="16"/>
          <w:szCs w:val="16"/>
          <w:b w:val="1"/>
          <w:bCs w:val="1"/>
          <w:color w:val="auto"/>
        </w:rPr>
        <w:t>2.500% 2031 Notes</w:t>
      </w:r>
      <w:r>
        <w:rPr>
          <w:rFonts w:ascii="Arial" w:cs="Arial" w:eastAsia="Arial" w:hAnsi="Arial"/>
          <w:sz w:val="16"/>
          <w:szCs w:val="16"/>
          <w:color w:val="auto"/>
        </w:rPr>
        <w:t>”) and dollar-denominated 3.250% senior unsecured notes due 2041 (the “</w:t>
      </w:r>
      <w:r>
        <w:rPr>
          <w:rFonts w:ascii="Arial" w:cs="Arial" w:eastAsia="Arial" w:hAnsi="Arial"/>
          <w:sz w:val="16"/>
          <w:szCs w:val="16"/>
          <w:b w:val="1"/>
          <w:bCs w:val="1"/>
          <w:color w:val="auto"/>
        </w:rPr>
        <w:t>3.250% 2041</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and together with the 2.500% 2031 Notes, the “</w:t>
      </w:r>
      <w:r>
        <w:rPr>
          <w:rFonts w:ascii="Arial" w:cs="Arial" w:eastAsia="Arial" w:hAnsi="Arial"/>
          <w:sz w:val="16"/>
          <w:szCs w:val="16"/>
          <w:b w:val="1"/>
          <w:bCs w:val="1"/>
          <w:color w:val="auto"/>
        </w:rPr>
        <w:t>May 2021 Notes</w:t>
      </w:r>
      <w:r>
        <w:rPr>
          <w:rFonts w:ascii="Arial" w:cs="Arial" w:eastAsia="Arial" w:hAnsi="Arial"/>
          <w:sz w:val="16"/>
          <w:szCs w:val="16"/>
          <w:color w:val="auto"/>
        </w:rPr>
        <w:t>,”), dollar- denominated 2.650% senior unsecured notes due 2032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2.650% 2032 Notes</w:t>
      </w:r>
      <w:r>
        <w:rPr>
          <w:rFonts w:ascii="Arial" w:cs="Arial" w:eastAsia="Arial" w:hAnsi="Arial"/>
          <w:sz w:val="16"/>
          <w:szCs w:val="16"/>
          <w:color w:val="auto"/>
        </w:rPr>
        <w:t>”), dollar-denominated 3.125% senior unsecured notes due 2042 (the “</w:t>
      </w:r>
      <w:r>
        <w:rPr>
          <w:rFonts w:ascii="Arial" w:cs="Arial" w:eastAsia="Arial" w:hAnsi="Arial"/>
          <w:sz w:val="16"/>
          <w:szCs w:val="16"/>
          <w:b w:val="1"/>
          <w:bCs w:val="1"/>
          <w:color w:val="auto"/>
        </w:rPr>
        <w:t>3.125% 2042 Notes</w:t>
      </w:r>
      <w:r>
        <w:rPr>
          <w:rFonts w:ascii="Arial" w:cs="Arial" w:eastAsia="Arial" w:hAnsi="Arial"/>
          <w:sz w:val="16"/>
          <w:szCs w:val="16"/>
          <w:color w:val="auto"/>
        </w:rPr>
        <w:t>”), and the dollar-denominated</w:t>
      </w:r>
    </w:p>
    <w:p>
      <w:pPr>
        <w:spacing w:after="0" w:line="6" w:lineRule="exact"/>
        <w:rPr>
          <w:rFonts w:ascii="Arial" w:cs="Arial" w:eastAsia="Arial" w:hAnsi="Arial"/>
          <w:sz w:val="16"/>
          <w:szCs w:val="16"/>
          <w:color w:val="auto"/>
        </w:rPr>
      </w:pPr>
    </w:p>
    <w:p>
      <w:pPr>
        <w:ind w:left="540" w:right="80"/>
        <w:spacing w:after="0" w:line="250" w:lineRule="auto"/>
        <w:rPr>
          <w:rFonts w:ascii="Arial" w:cs="Arial" w:eastAsia="Arial" w:hAnsi="Arial"/>
          <w:sz w:val="16"/>
          <w:szCs w:val="16"/>
          <w:color w:val="auto"/>
        </w:rPr>
      </w:pPr>
      <w:r>
        <w:rPr>
          <w:rFonts w:ascii="Arial" w:cs="Arial" w:eastAsia="Arial" w:hAnsi="Arial"/>
          <w:sz w:val="18"/>
          <w:szCs w:val="18"/>
          <w:color w:val="auto"/>
        </w:rPr>
        <w:t>3.250% senior unsecured notes due 2051 (the “</w:t>
      </w:r>
      <w:r>
        <w:rPr>
          <w:rFonts w:ascii="Arial" w:cs="Arial" w:eastAsia="Arial" w:hAnsi="Arial"/>
          <w:sz w:val="18"/>
          <w:szCs w:val="18"/>
          <w:b w:val="1"/>
          <w:bCs w:val="1"/>
          <w:color w:val="auto"/>
        </w:rPr>
        <w:t>3.250% 2051 Notes</w:t>
      </w:r>
      <w:r>
        <w:rPr>
          <w:rFonts w:ascii="Arial" w:cs="Arial" w:eastAsia="Arial" w:hAnsi="Arial"/>
          <w:sz w:val="18"/>
          <w:szCs w:val="18"/>
          <w:color w:val="auto"/>
        </w:rPr>
        <w:t>,” and together with the 2.650% 2032 Notes and the 3.125% 2042 Notes, the “</w:t>
      </w:r>
      <w:r>
        <w:rPr>
          <w:rFonts w:ascii="Arial" w:cs="Arial" w:eastAsia="Arial" w:hAnsi="Arial"/>
          <w:sz w:val="18"/>
          <w:szCs w:val="18"/>
          <w:b w:val="1"/>
          <w:bCs w:val="1"/>
          <w:color w:val="auto"/>
        </w:rPr>
        <w:t>November 2021 Notes</w:t>
      </w:r>
      <w:r>
        <w:rPr>
          <w:rFonts w:ascii="Arial" w:cs="Arial" w:eastAsia="Arial" w:hAnsi="Arial"/>
          <w:sz w:val="18"/>
          <w:szCs w:val="18"/>
          <w:color w:val="auto"/>
        </w:rPr>
        <w:t>,” and collectively with the June 2019 Notes, the December 2018 Notes, the May 2020 Notes and the May 2021 Notes, and the 4.625% 2023 Notes the “</w:t>
      </w:r>
      <w:r>
        <w:rPr>
          <w:rFonts w:ascii="Arial" w:cs="Arial" w:eastAsia="Arial" w:hAnsi="Arial"/>
          <w:sz w:val="18"/>
          <w:szCs w:val="18"/>
          <w:b w:val="1"/>
          <w:bCs w:val="1"/>
          <w:color w:val="auto"/>
        </w:rPr>
        <w:t>Existing Notes</w:t>
      </w:r>
      <w:r>
        <w:rPr>
          <w:rFonts w:ascii="Arial" w:cs="Arial" w:eastAsia="Arial" w:hAnsi="Arial"/>
          <w:sz w:val="18"/>
          <w:szCs w:val="18"/>
          <w:color w:val="auto"/>
        </w:rPr>
        <w:t>”). NXP USA is a guarantor of the 4.625% 2023 Notes and the December 2018 Notes NXP USA is an issuer, along with the Company and NXP Funding, of the June 2019 Notes, the May 2020 Notes, the May 2021 Notes and the November 2021 Notes.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Outstanding Notes are, and the New Notes will be, guaranteed on a senior unsecured basis by our parent company, NXP Semiconductors N.V.</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EXCHANGE OFFERS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(i) June 18, 2019 we issued (x) $750,000,000 aggregate principal amount of the Outstanding 2026 Notes and (y) $1,000,000,000 aggregate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principal amount of the Outstanding 2029 Notes; (ii) May 1, 2020 we issued (x) $500,000,000 aggregate principal amount of the Outstanding 2025</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(y) $500,000,000 aggregate principal amount of the Outstanding 2027 notes and (z) $1,000,000,000 aggregate principal amount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2030 Notes; (iii) May 11, 2021 we issued (x) $1,000,000,000 aggregate principal amount of the Outstanding 2031 Notes; and (y)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$1,000,000,000 aggregate principal amount of the Outstanding 2041 Notes; and (iv) November 30, 2021 we issued (x) $1,000,000,000 aggregate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amount of the Outstanding 2032 Notes; (y) $500,000,000 aggregate principal amount of the Outstanding 2042 Notes; and (z) $500,000,000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aggregate principal amount of the Outstanding 2051 Notes, in each case to one or more initial purchasers in reliance on exemptions from, or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transactions not subject to, the registration requirements of the Securities Act and applicable securities laws. In connection with the sale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Notes to the respective initial purchasers, we entered into registration rights agreements pursuant to which we agreed,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deliver this prospectus to you, to commence these Exchange Offers and to complete the Exchange Offers by (i) June 30, 2022 with respect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2025 Notes, the Outstanding 2026 Notes, the Outstanding 2027 Notes, the Outstanding 2029 Notes, the Outstanding 2030 Notes,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2031 Notes, and the Outstanding 2041 Notes and (ii) November 30, 2022 with respect to the Outstanding 2031 Notes, the Outstanding 2042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and the Outstanding 2051 Notes. The summary below describes the principal terms and conditions of the Exchange Offers. Some of the terms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conditions described below are subject to important limitations and exceptions. See “The Exchange Offers” for a more detailed description of the terms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conditions of the Exchange Offers and “Description of the New Notes and the Note Guarantee” for a more detailed description of the terms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 series of New Notes.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Notes</w:t>
      </w:r>
    </w:p>
    <w:p>
      <w:pPr>
        <w:spacing w:after="0" w:line="135"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2.700% Senior Notes due 2025,</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3.875% Senior Notes due 2026,</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3.150% Senior Notes due 2027,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4.300% Senior Notes due 2029,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3.400% Senior Notes due 2030,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2.500% Senior Notes due 2031,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2.650% Senior Notes due 2032,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3.250% Senior Notes due 2041,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3.125% Senior Notes due 2042,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3.250% Senior Notes due 2051.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Notes</w:t>
      </w:r>
    </w:p>
    <w:p>
      <w:pPr>
        <w:spacing w:after="0" w:line="13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2.700% Senior Notes due 2025,</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3.875% Senior Notes due 2026,</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3.150% Senior Notes due 2027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4.300% Senior Notes due 2029,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3.400% Senior Notes due 2030,</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2.500% Senior Notes due 2031,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2.650% Senior Notes due 2032,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3.250% Senior Notes due 2041,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3.125% Senior Notes due 2042, and</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3.250% Senior Notes due 2051, each of which have terms that are substantially identical to the applicable series of the Outstanding Notes, except that the transfer restrictions and registration rights relating to the Outstanding Notes do not apply to the New Notes and the New Notes do not have the right to earn additional interest under circumstances related to our registration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Exchange Offers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offering to exchange up to $500,000,000 aggregate principal amount of 2.700% Senior Notes due 2025, up to $750,000,000 aggregate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principal amount of 3.875% Senior Notes due 2026, up to $500,000,000 aggregate principal amount of 3.150% Senior Notes due 2027,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$1,000,000,000 aggregate principal amount of 4.300% Senior Notes due 2029, up to $1,000,000,000 aggregate principal amount of 3.400% Senior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due 2030, up to $1,000,000,000 aggregate principal amount of 2.500% Senior Notes due 2031, up to $1,000,000,000 aggregate principal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2.650% Senior Notes due 2032, up to $1,000,000,000 aggregate principal amount of 3.250% Senior Notes due 2041, up to $500,000,000 aggregate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amount of 3.125% Senior Notes due 2042, and up to $500,000,000 aggregate principal amount of 3.250% Senior Notes due 2051, which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been registered under the Securities Act, in exchange for your Outstanding Notes of the corresponding series. The form and terms of each series of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are substantially identical to the form and terms of the applicable series of the Outstanding Notes. The New Notes, however, will not contain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 restrictions and will not have the registration rights applicable to the Outstanding Notes.</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To exchange your Outstanding Notes, you must properly tender them, and we must accept them. We will accept and exchange all Outstanding Notes that you validly tender and do not validly withdraw. We will issue registered New Notes promptly after the expiration of the Exchange Offer with respect to the applicable series of Outstanding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Resale of New Notes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Based on interpretations by the staff of the SEC as detailed in a series of no-action letters issued to third parties, we believe that, as long as you are not a broker-dealer, the New Notes offered in the Exchange Offers may be offered for resale, resold or otherwise transferred by you without compliance with the registration and prospectus delivery requirements of the Securities Act as long as:</w:t>
      </w:r>
    </w:p>
    <w:p>
      <w:pPr>
        <w:spacing w:after="0" w:line="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acquiring the New Notes in the ordinary course of your business;</w:t>
      </w:r>
    </w:p>
    <w:p>
      <w:pPr>
        <w:spacing w:after="0" w:line="130"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time of the commencement of the Exchange Offers, you have no arrangement or understanding with any person to participate in a “distribution,” as defined in the Securities Act, of the New Notes in violation of the provisions of the Securities Act;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not an “affiliate” of ours within the meaning of Rule 405 of the Securities Act.</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any of these conditions is not satisfied and you transfer any New Notes issued to you in the Exchange Offers without delivering a proper prospectus or without qualifying for a registration exemption, you may incur liability under the Securities Act. Moreover, our belief that transfers of New Notes would be permitted without registration or prospectus delivery under the conditions described above is based on SEC interpretations given to other, unrelated issuers in similar exchange offers. We cannot assure you that the SEC would make a similar interpretation with respect to our Exchange Offers. We will not be responsible for or indemnify you against any liability you may incur under the Securities Act.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Broker-Dealer</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Each broker-dealer that receives New Notes for its own account in exchange for Outstanding Notes that were acquired by it as a result of market-making or other trading activities must acknowledge that it will deliver a prospectus (or, to the extent permitted by law, make available a prospectus) meeting the requirements of the Securities Act in connection with any offer to resell, resale or other transfer of such New Notes. By so acknowledging and by delivering a prospectus, a broker-dealer will not be deemed to admit that it is an “underwriter” within the meaning of the Securities Act. We have agreed that, during the period ending 180 days after the consummation of the Exchange Offers, subject to extension in limited circumstances, a participating broker dealer may use this prospectus for an offer to sell, a resale or other transfer of New Notes received in exchange for Outstanding Notes which it acquired through market making or other trading activities.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Date</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Exchange Offers will expire at 5:00 p.m., New York City time, on May 12, 2022, unless we extend the Exchange Offer with respect to any or all series of Outstanding Notes in our sole and absolute discretion.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Interest on the New Notes and the Outstanding Notes</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New Notes of each series will bear interest from the most recent date to which interest has been paid on the corresponding series of Outstanding Notes. If your Outstanding Notes are accepted for exchange, then you will receive interest on the New Notes and not on the Outstanding Notes. Any Outstanding Notes not tendered will remain outstanding and continue to accrue interest according to their terms.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Exchange Offers are subject to customary conditions. We may assert or waive these conditions in our sole discretion. If we materially change the terms of any Exchange Offer, we will resolicit tenders of the applicable Outstanding Notes. See “The Exchange Offers—Conditions to the Exchange Offers” for more information regarding conditions to the Exchange Offers.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Outstanding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holder of Outstanding Notes that wishes to tender their Outstanding Notes must either:</w:t>
      </w:r>
    </w:p>
    <w:p>
      <w:pPr>
        <w:spacing w:after="0" w:line="131" w:lineRule="exact"/>
        <w:rPr>
          <w:sz w:val="20"/>
          <w:szCs w:val="20"/>
          <w:color w:val="auto"/>
        </w:rPr>
      </w:pPr>
    </w:p>
    <w:p>
      <w:pPr>
        <w:ind w:left="1080" w:right="6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arrange with The Depository Trust Company, or DTC, to cause an agent’s message to be transmitted with the required information (including a book-entry confirmation) to the exchange agent;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Holders of Outstanding Notes that tender Outstanding Notes in the Exchange Offers are deemed to represent that the following are true:</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holder is acquiring the New Notes in the ordinary course of its business;</w:t>
      </w:r>
    </w:p>
    <w:p>
      <w:pPr>
        <w:spacing w:after="0" w:line="130" w:lineRule="exact"/>
        <w:rPr>
          <w:rFonts w:ascii="Arial" w:cs="Arial" w:eastAsia="Arial" w:hAnsi="Arial"/>
          <w:sz w:val="18"/>
          <w:szCs w:val="18"/>
          <w:color w:val="auto"/>
        </w:rPr>
      </w:pPr>
    </w:p>
    <w:p>
      <w:pPr>
        <w:ind w:left="1540" w:right="540" w:hanging="331"/>
        <w:spacing w:after="0" w:line="308" w:lineRule="auto"/>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holder is not an “affiliate” of us within the meaning of Rule 405 of the Securities Act.</w:t>
      </w:r>
    </w:p>
    <w:p>
      <w:pPr>
        <w:spacing w:after="0" w:line="225"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We could reject your tender of Outstanding Notes if you tender them in a manner that does not comply with the instructions provided in this prospectus. See “Risk Factors—There are significant consequences if you fail to exchange your Outstanding Notes” for further information.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Procedures for Tenders by Beneficial Owners</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If you are a beneficial owner whose Outstanding Notes are registered in the name of a broker, dealer, commercial bank, trust company or other nominee and you wish to tender your Outstanding Notes in the Exchange Offers, you should promptly contact the person in whose name the Outstanding Notes are registered and instruct that person to tender on your behalf. If you wish to tender in the Exchange Offers on your own behalf, delivering your Outstanding Notes, you must either make appropriate arrangements to register ownership of the Outstanding Notes in your name or obtain a properly completed bond power from the person in whose name the Outstanding Notes are registered.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Failure to Exchange Outstanding Notes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Outstanding Notes of a series that are not exchanged in the applicable Exchange Offer will remain subject to the restrictions on transfer and resaleability and may only be sold in accordance with the transfer restrictions.</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We do not currently intend to register any series of the Outstanding Notes under the Securities Act. Upon the completion of the applicable Exchange Offer, we will have no further obligations, except under limited circumstances, to provide for registration of the Old Notes under the U.S. federal securities laws. See “The Exchange Offers—Consequences of Failure to Exchange.”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 may withdraw your tender of Outstanding Notes under the Exchange Offers at any time before the Exchange Offer with respect to the applicable series of Outstanding Notes expires. Any withdrawal must be in accordance with the procedures described in “The Exchange Offers— Withdrawal Rights.” If we decide for any reason not to accept any Outstanding Notes tendered for exchange, such Outstanding Notes will be returned to the registered holder at our expense promptly after the expiration or termination of the Exchange Offers. Outstanding Notes tendered by book-entry transfer into the exchange agent’s account at DTC that are withdrawn or unaccepted Outstanding Notes will be credited to the tendering holder’s account at DTC.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on Holders of Outstanding Notes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a result of making the Exchange Offers, and upon acceptance for exchange of all validly tendered Outstanding Notes, we will have fulfilled our obligations under the Registration Rights Agreements (as defined herein). Accordingly, there will be no liquidated or other damages payable under the Registration Rights Agreements if a series of Outstanding Notes were eligible for exchange, but not exchanged, in the applicable Exchange Offer.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Your exchange of Outstanding Notes for New Notes in the Exchange Offers should not be treated as a taxable event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not receive any proceeds from the exchange of the Outstanding Notes for the New Notes under the Exchange Offers.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Outstanding Notes and Delivery of Outstanding Notes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will accept for exchange any and all Outstanding Notes properly tendered prior to the Expiration Date. We will complete the Exchange Offers and issue the New Notes promptly after the Expiration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Deutsche Bank Trust Company Americas is serving as exchange agent for the Exchange Offers. The address and telephone number of the exchange agent are provided in this prospectus under “The Exchange Offers—Exchange Agent.”</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Concurrently with the Exchange Offers, we have commenced offers to exchange up to $1,000,000,000 4.875% senior notes due 2024 for up to $1,000,000,000 4.875% senior notes due to 2024 that have been registered under the Securities Act, up to $500,000,000 5.350% senior notes due 2026 that have been registered under the Securities Act and up to $500,000,000 5.550% senior notes due 2028 for up to $500,000,000 5.550% senior notes due 2028 that have been registered under the Securities Act. Such offers will expire at 5:00 p.m., New York City time, on May 12, 2022, unless we extend such offers with respect to any or all series of notes in our sole and absolute discretion.</w:t>
      </w: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of Terms of New Notes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form and terms of each series of New Notes will be substantially identical to those of the Outstanding Notes of the corresponding series, except that (i) the New Notes will have been registered under the Securities Act, (ii) the New Notes will not bear restrictive legends restricting their transfer under the Securities Act, (iii) the New Notes will not be entitled to the registration rights that apply to the Outstanding Notes and (iv) the New Notes will not contain provisions relating to an increase in the interest rate borne by the Outstanding Notes under circumstances related to the timing of the Exchange Offers.</w:t>
      </w:r>
    </w:p>
    <w:p>
      <w:pPr>
        <w:spacing w:after="0" w:line="188"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Each series of New Notes will evidence the same debt as the applicable series of Outstanding Notes and will each be governed by the same indenture under which the applicable series of Outstanding Notes were issued. The summary below describes the principal terms of each series of the New Notes. Please see “Description of the New Notes and the Note Guarantee” for further information regarding the New Notes.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Issuers</w:t>
      </w:r>
    </w:p>
    <w:p>
      <w:pPr>
        <w:spacing w:after="0" w:line="117" w:lineRule="exact"/>
        <w:rPr>
          <w:sz w:val="20"/>
          <w:szCs w:val="20"/>
          <w:color w:val="auto"/>
        </w:rPr>
      </w:pPr>
    </w:p>
    <w:p>
      <w:pPr>
        <w:jc w:val="both"/>
        <w:ind w:left="120" w:right="100" w:firstLine="440"/>
        <w:spacing w:after="0" w:line="347" w:lineRule="auto"/>
        <w:rPr>
          <w:sz w:val="20"/>
          <w:szCs w:val="20"/>
          <w:color w:val="auto"/>
        </w:rPr>
      </w:pPr>
      <w:r>
        <w:rPr>
          <w:rFonts w:ascii="Arial" w:cs="Arial" w:eastAsia="Arial" w:hAnsi="Arial"/>
          <w:sz w:val="16"/>
          <w:szCs w:val="16"/>
          <w:color w:val="auto"/>
        </w:rPr>
        <w:t>NXP B.V. (the “</w:t>
      </w:r>
      <w:r>
        <w:rPr>
          <w:rFonts w:ascii="Arial" w:cs="Arial" w:eastAsia="Arial" w:hAnsi="Arial"/>
          <w:sz w:val="16"/>
          <w:szCs w:val="16"/>
          <w:b w:val="1"/>
          <w:bCs w:val="1"/>
          <w:color w:val="auto"/>
        </w:rPr>
        <w:t>Company</w:t>
      </w:r>
      <w:r>
        <w:rPr>
          <w:rFonts w:ascii="Arial" w:cs="Arial" w:eastAsia="Arial" w:hAnsi="Arial"/>
          <w:sz w:val="16"/>
          <w:szCs w:val="16"/>
          <w:color w:val="auto"/>
        </w:rPr>
        <w:t>”), NXP Funding LLC (“</w:t>
      </w:r>
      <w:r>
        <w:rPr>
          <w:rFonts w:ascii="Arial" w:cs="Arial" w:eastAsia="Arial" w:hAnsi="Arial"/>
          <w:sz w:val="16"/>
          <w:szCs w:val="16"/>
          <w:b w:val="1"/>
          <w:bCs w:val="1"/>
          <w:color w:val="auto"/>
        </w:rPr>
        <w:t>NXP Funding</w:t>
      </w:r>
      <w:r>
        <w:rPr>
          <w:rFonts w:ascii="Arial" w:cs="Arial" w:eastAsia="Arial" w:hAnsi="Arial"/>
          <w:sz w:val="16"/>
          <w:szCs w:val="16"/>
          <w:color w:val="auto"/>
        </w:rPr>
        <w:t>”) and NXP USA, Inc. (“</w:t>
      </w:r>
      <w:r>
        <w:rPr>
          <w:rFonts w:ascii="Arial" w:cs="Arial" w:eastAsia="Arial" w:hAnsi="Arial"/>
          <w:sz w:val="16"/>
          <w:szCs w:val="16"/>
          <w:b w:val="1"/>
          <w:bCs w:val="1"/>
          <w:color w:val="auto"/>
        </w:rPr>
        <w:t>NXP USA</w:t>
      </w:r>
      <w:r>
        <w:rPr>
          <w:rFonts w:ascii="Arial" w:cs="Arial" w:eastAsia="Arial" w:hAnsi="Arial"/>
          <w:sz w:val="16"/>
          <w:szCs w:val="16"/>
          <w:color w:val="auto"/>
        </w:rPr>
        <w:t>” and collectively with the Company and NXP Funding, the “Issuers”) are the issuers of the New Notes. The Issuers will be jointly and severally liable for all obligations under the New Notes.</w:t>
      </w:r>
    </w:p>
    <w:p>
      <w:pPr>
        <w:spacing w:after="0" w:line="12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NXP Funding is a wholly owned subsidiary of the Company that has been organized as a limited liability company in Delaware as a special purpose finance subsidiary to facilitate offerings of debt securities. NXP Funding does not have any operations or assets, other than in connection with prior offerings of debt securities, and does not have any revenue. Accordingly, you should not expect NXP Funding to participate in servicing the principal and interest obligations on the New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Offered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 to $500,000,000 aggregate principal amount of 2.700% Senior Notes due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 to $750,000,000 aggregate principal amount of 3.875% Senior Notes due 2026.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 to $500,000,000 aggregate principal amount of 3.150% Senior Notes due 2027.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 to $1,000,000,000 aggregate principal amount of 4.300% Senior Notes due 2029.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 to $1,000,000,000 aggregate principal amount of 3.400% Senior Notes due 2030.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 to $1,000,000,000 aggregate principal amount of 2.500% Senior Notes due 2031.</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 to $1,000,000,000 aggregate principal amount of 2.650% Senior Notes due 2032.</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 to $1,000,000,000 aggregate principal amount of 3.250% Senior Notes due 2041.</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 to $500,000,000 aggregate principal amount of 3.125% Senior Notes due 2042.</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 to $500,000,000 aggregate principal amount of 3.250% Senior Notes due 2051.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Maturity Dates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2025 Notes will mature on May 1, 2025.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2026 Notes will mature on June 18, 2026.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2027 Notes will mature on May 1, 2027.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2029 Notes will mature on June 18, 2029.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2030 Notes will mature on May 1, 2030.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2031 Notes will mature on May 11, 2031.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2032 Notes will mature on February 15, 2032.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2041 Notes will mature on May 11, 2041.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2042 Notes will mature on February 15, 2042.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2051 Notes will mature on November 30, 2051.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2025 Notes will bear interest at a rate equal to 2.700%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2026 Notes will bear interest at a rate equal to 3.875%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2027 Notes will bear interest at a rate equal to 3.150%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2029 Notes will bear interest at a rate equal to 4.300%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2030 Notes will bear interest at a rate equal to 3.400%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2031 Notes will bear interest at a rate equal to 2.500%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2032 Notes will bear interest at a rate equal to 2.650%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2041 Notes will bear interest at a rate equal to 3.250%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2042 Notes will bear interest at a rate equal to 3.125% per annum.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2051 Notes will bear interest at a rate equal to 3.250% per annum.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Interest on the New 2032 Notes and the New 2042 Notes will be payable semi-annually on February 15 and August 15 of each year, beginning on August 15, 2022.</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Interest on the New 2051 Notes will be payable semi-annually on May 30 and November 30 of each year, beginning on May 30, 2022.</w:t>
      </w:r>
    </w:p>
    <w:p>
      <w:pPr>
        <w:spacing w:after="0" w:line="23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Interest on the New 2026 Notes and the New 2029 Notes will be payable semi-annually on June 18 and December 18 of each year, beginning on June 18, 2022. Interest on the New 2025 Notes, the New 2027 Notes and the New 2030 Notes will be payable semi-annually on May 1 and November 1 of each year, beginning on November 1, 2022.</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Interest on the New 2031 notes and the New 2041 Notes will be payable semi-annually on May 11 and November 11 of each year, beginning on November 11,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Guarantees</w:t>
      </w:r>
    </w:p>
    <w:p>
      <w:pPr>
        <w:spacing w:after="0" w:line="117"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The New Notes will be fully and unconditionally guaranteed (such guarantee, the “</w:t>
      </w:r>
      <w:r>
        <w:rPr>
          <w:rFonts w:ascii="Arial" w:cs="Arial" w:eastAsia="Arial" w:hAnsi="Arial"/>
          <w:sz w:val="18"/>
          <w:szCs w:val="18"/>
          <w:b w:val="1"/>
          <w:bCs w:val="1"/>
          <w:color w:val="auto"/>
        </w:rPr>
        <w:t>Note Guarantee</w:t>
      </w:r>
      <w:r>
        <w:rPr>
          <w:rFonts w:ascii="Arial" w:cs="Arial" w:eastAsia="Arial" w:hAnsi="Arial"/>
          <w:sz w:val="18"/>
          <w:szCs w:val="18"/>
          <w:color w:val="auto"/>
        </w:rPr>
        <w:t>”) on a senior unsecured basis by our parent company, NXP Semiconductors N.V. (the “</w:t>
      </w:r>
      <w:r>
        <w:rPr>
          <w:rFonts w:ascii="Arial" w:cs="Arial" w:eastAsia="Arial" w:hAnsi="Arial"/>
          <w:sz w:val="18"/>
          <w:szCs w:val="18"/>
          <w:b w:val="1"/>
          <w:bCs w:val="1"/>
          <w:color w:val="auto"/>
        </w:rPr>
        <w:t>Parent</w:t>
      </w:r>
      <w:r>
        <w:rPr>
          <w:rFonts w:ascii="Arial" w:cs="Arial" w:eastAsia="Arial" w:hAnsi="Arial"/>
          <w:sz w:val="18"/>
          <w:szCs w:val="18"/>
          <w:color w:val="auto"/>
        </w:rPr>
        <w:t>”). If we cannot make payments on the New Notes when they are due, the Parent must make them instead. The laws of certain jurisdictions may limit the enforceability of the Note Guarantee.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Priority of the New Notes and the Note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Notes and the Note Guarantee will be:</w:t>
      </w:r>
    </w:p>
    <w:p>
      <w:pPr>
        <w:spacing w:after="0" w:line="131" w:lineRule="exact"/>
        <w:rPr>
          <w:sz w:val="20"/>
          <w:szCs w:val="20"/>
          <w:color w:val="auto"/>
        </w:rPr>
      </w:pPr>
    </w:p>
    <w:p>
      <w:pPr>
        <w:ind w:left="1080" w:right="100" w:hanging="424"/>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junior to all of the Issuers’ and the Parent’s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 In addition, certain existing and future indebtedness and obligations permitted under the respective agreements or indentures, as the case may be, will all benefit from liens over certain assets;</w:t>
      </w:r>
    </w:p>
    <w:p>
      <w:pPr>
        <w:spacing w:after="0" w:line="93"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equal in right of payment with all of the Issuers’ and the Parent’s existing and future senior indebtedness, including our Existing Notes, (except that certain series of Existing Notes do not benefit from a guarantee from the Parent) and senior in right of payment to the Issuers’ and the Parent’s existing and future subordinated indebtedness;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structurally subordinated to all of the liabilities, including trade payables, of our other subsidiaries that have not guaranteed the New Notes.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and for the three months ended December 31, 2021, Non-Guarantor Subsidiaries held 39% of our total revenue and 32% of our total assets.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Any payments made by or on behalf of a Payor, as defined under “Description of the New Notes and the Note Guarantee—Redemption for Taxation Reasons,” with respect to the New Notes will be made without withholding or deduction for taxes in any Relevant Taxing Jurisdiction, as defined under “Description of the New Notes and the Note Guarantee—Withholding Taxes,” unless required by law. If a Payor is required by law to withhold or deduct for such taxes with respect to a payment to the holders of New Notes, the Payor will pay the additional amounts necessary so that the net amount received by the holders of New Notes after the withholding is not less than the amount that they would have received in the absence of the withholding, subject to certain exceptions. See “Description of the New Notes and the Note Guarantee—Withholding Taxes.”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may redeem the New Notes of any series, in whole or in part, at any time or from time to time, at the redemption prices described in “Description of the New Notes and the Note Guarantee—Optional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Redemption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redeem the New Notes of any series in whole, but not in part, at any time, upon giving proper notice, if as a result of certain changes in tax law withholding taxes are or would be imposed on amounts payable on the New Notes that would require the payment of Additional Amounts (as defined under “Description of the New Notes and the Note Guarantee—Withholding Taxes”). If we decide to so redeem, we must pay you a redemption price equal to the principal amount of the New Notes plus accrued and unpaid interest and Additional Amounts, if any. See “Description of the New Notes and the Note Guarantee—Redemption for Taxation Reasons.”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we experience a Change of Control Triggering Event (as defined in the Indentures (as defined herein)) with respect to any series of New Notes, we will be required to make an offer to repurchase each series of New Notes at a price equal to 101% of their principal amount, plus accrued and unpaid interest, if any, to but excluding the date of repurchase. See “Description of the New Notes and the Note Guarantee— Repurchase of Notes upon a Change of Control Triggering Event.”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Notes will each be governed by the indentures under which the Outstanding Notes were issued.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Indentures contain covenants that, among other things, limit our ability to:</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certain liens;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certain sale and leaseback transactions.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These covenants are subject to a number of important qualifications and exceptions. For more details see “Description of the New Notes and the Note Guarantee—Certain Covenants.”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and Denomination</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Each series of New Notes will be issued in denominations of $2,000 and integral multiples of $1,000 in excess thereof. The New Notes will be issued in book-entry form and will be represented by global certificates deposited with, or on behalf of DTC, and registered in the name of Cede &amp; Co., DTC’s nominee. Beneficial interests in the New Notes will be shown on, and transfers will be effected only through, records maintained by DTC or its nominee; and these interests may not be exchanged for certificated notes, except in limited circumstances.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Prior Market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Each series of New Notes will be new securities for which there is currently no market or a limited market. We do not intend to apply for listing of the New Notes on any national securities exchange. A liquid or active trading market for any series of the New Notes may not develop. If an active trading market for a series of New Notes does not develop, the market price and liquidity of such New Notes may be adversely affected.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Indentures are, and the New Notes will be, governed by the laws of the State of New York.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should carefully consider the information set forth under “Risk Factors” and all of the information in or incorporated by reference into this prospectus before tendering your Old Notes in exchange for New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Deutsche Bank Trust Company Americas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Deutsche Bank Trust Company Americas is serving as exchange agent for the Exchange Offers. The address and telephone number of the exchange agent are provided in this prospectus under “The Exchange Offers—Exchange Agent.”</w:t>
      </w:r>
    </w:p>
    <w:p>
      <w:pPr>
        <w:spacing w:after="0" w:line="170"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For additional information regarding the New Notes, see the “Description of the New Notes and the Note Guarantee” section of this prospectus. 12</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An investment in the New Notes involves a high degree of risk. Before investing in the New Notes, you should carefully consider the risks described below as well as other factors and information included in or incorporated by reference into this prospectus, including the risk factors set forth in NXP Semiconductor N.V.’s annual report on Form 10-K for the year ended December 31, 2021, and our financial statements and related notes, all of which are incorporated by reference into this prospectus. Any such risks could materially and adversely affect our business, financial condition, results of operations or liquidity. The selected risks described below and in NXP Semiconductor N.V.’s annual report on Form 10-K for the year ended December 31, 2021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annual report on Form</w:t>
      </w:r>
    </w:p>
    <w:p>
      <w:pPr>
        <w:spacing w:after="0" w:line="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10-K for the year ended December 31, 2021 or such additional risks could have a material adverse impact on our business, financial condition, results of operations, ability to make payments on the New Notes or on the trading price of the New Notes.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Exchange Offers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are significant consequences if you fail to exchange your Outstanding Notes.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did not register the offering of the Outstanding Notes under the Securities Act or any state securities laws, nor do we intend to do so after completion of the Exchange Offers. As a result, the Outstanding Notes may only be transferred in limited circumstances under the securities laws. If you do not exchange your Outstanding Notes in the Exchange Offers, you will lose your right to have the Outstanding Notes registered under the Securities Act, subject to certain limitations. If you continue to hold Outstanding Notes after the Exchange Offers, you may be unable to sell the Outstanding Notes. Outstanding Notes that are not tendered or are tendered but not accepted will, following the Exchange Offers, continue to be subject to existing restrictions.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cannot be sure that an active trading market for the New Notes will develop.</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New Notes are new issues of securities, and there is no market for such notes, and an active market may not develop for such notes. We do not intend to apply for a listing of any series of the New Notes on any securities exchange or for quotation of the New Notes on any automated dealer quotation system. We do not know if an active public market for any series of the New Notes will develop or, if developed, will continue. If an active market does not develop for the New Notes or is not maintained, the market price and liquidity of the New Notes may be adversely affected. We cannot make any assurances regarding the liquidity of the market for the New Notes, the ability of holders to sell their New Notes or the price at which holders may sell their New Notes. In addition, the liquidity and the market price of the New Notes may be adversely affected by changes in the overall market for securities similar to the New Notes, by changes in our financial performance or prospects and by changes in conditions in our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must follow the appropriate procedures to tender your Outstanding Notes or they will not be exchanged.</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New Notes will be issued in exchange for the Outstanding Notes only after timely receipt by the exchange agent of the Outstanding Notes or a book-entry confirmation related thereto or an agent’s message and all other required documentation. If you want to tender your Outstanding Notes in exchange for New Notes, you should allow sufficient time to ensure timely delivery. Neither we nor the exchange agent are under any duty to give you notification of defects or irregularities with respect to tenders of Outstanding Notes for exchange. Outstanding Notes that are not tendered or are tendered but not accepted will, following the Exchange Offers, continue to be subject to the existing transfer restrictions. In addition, if you tender the Outstanding Notes in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Exchange Offers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Offers” and “Plan of Distribution” later in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New Notes.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substantial leverage. Our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dedicated to the payment of principal and interest on our indebtedness, therefore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1080" w:right="14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certain of our indebtedness, including our loans under the Revolving Credit Agreement, dated as of June 11, 2019, by and among NXP B.V. and NXP Funding LLC, the financial institutions from time to time party thereto, and Barclays Bank PLC as Administrative Agent), as modified or amended from time to time (the “</w:t>
      </w:r>
      <w:r>
        <w:rPr>
          <w:rFonts w:ascii="Arial" w:cs="Arial" w:eastAsia="Arial" w:hAnsi="Arial"/>
          <w:sz w:val="18"/>
          <w:szCs w:val="18"/>
          <w:b w:val="1"/>
          <w:bCs w:val="1"/>
          <w:color w:val="auto"/>
        </w:rPr>
        <w:t>Revolving Credit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bear interest at a variable rate;</w:t>
      </w:r>
    </w:p>
    <w:p>
      <w:pPr>
        <w:spacing w:after="0" w:line="92" w:lineRule="exact"/>
        <w:rPr>
          <w:rFonts w:ascii="Arial" w:cs="Arial" w:eastAsia="Arial" w:hAnsi="Arial"/>
          <w:sz w:val="18"/>
          <w:szCs w:val="18"/>
          <w:color w:val="auto"/>
        </w:rPr>
      </w:pPr>
    </w:p>
    <w:p>
      <w:pPr>
        <w:ind w:left="1080" w:right="260" w:hanging="424"/>
        <w:spacing w:after="0" w:line="31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including the New Notes, and any failure to comply with the obligations of any of our debt instruments, including restrictive covenants and borrowing conditions, could result in an event of default under the Indentures governing the New Notes and the indentures and agreements governing such other indebtedness;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restructurings, product development, research and development, debt service requirements, investments, acquisitions and general corporate or other purposes; and</w:t>
      </w:r>
    </w:p>
    <w:p>
      <w:pPr>
        <w:spacing w:after="0" w:line="51" w:lineRule="exact"/>
        <w:rPr>
          <w:rFonts w:ascii="Arial" w:cs="Arial" w:eastAsia="Arial" w:hAnsi="Arial"/>
          <w:sz w:val="17"/>
          <w:szCs w:val="17"/>
          <w:color w:val="auto"/>
        </w:rPr>
      </w:pPr>
    </w:p>
    <w:p>
      <w:pPr>
        <w:ind w:left="1080" w:right="6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NXP Semiconductors N.V. had $10,572 million of outstanding indebtedness.</w:t>
      </w:r>
    </w:p>
    <w:p>
      <w:pPr>
        <w:spacing w:after="0" w:line="33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and our subsidiaries may be able to incur significant additional amounts of debt, which could further exacerbate the risks associated with our substantial indebtedness.</w:t>
      </w:r>
    </w:p>
    <w:p>
      <w:pPr>
        <w:spacing w:after="0" w:line="6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and our subsidiaries may incur substantial additional indebtedness in the future. The Revolving Credit Agreement does not contain restrictions on the incurrence of additional indebtedness, except in certain circumstances. If new debt is added to our and our subsidiaries’ existing debt levels, the related risks that we will face would increase. In addition, the Indentures governing the Notes do not prevent us from incurring additional indebtedness.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are bound by restrictive covenants contained in our Revolving Credit Agreement and the indentures governing the Existing Notes, which may restrict our ability to pursue our business strategies or repay the New Notes.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Restrictive covenants in certain of our existing indebtedness may in certain circumstances limit our ability, among other things, to:</w:t>
      </w:r>
    </w:p>
    <w:p>
      <w:pPr>
        <w:spacing w:after="0" w:line="13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indebtedness, when applicable;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consolidations, mergers or sales of substantially all of our assets.</w:t>
      </w:r>
    </w:p>
    <w:p>
      <w:pPr>
        <w:spacing w:after="0" w:line="33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failure to comply with the covenants contained in our Revolving Credit Agreement, the indentures governing the Existing Notes or any other debt agreements that we may have, including as a result of events beyond our control, could result in an event of default which could materially and adversely affect our operating results and our financial condition.</w:t>
      </w:r>
    </w:p>
    <w:p>
      <w:pPr>
        <w:spacing w:after="0" w:line="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Revolving Credit Agreement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when required, we are unable to repay, refinance or restructure our indebtedness under, or amend the covenants contained in, the Revolving Credit Agreement or such other agreements governing our indebtedness, or if a default otherwise occurs, (i) the lenders under the Revolving Credit Agreement could elect to terminate their commitments thereunder and cease making further loans and issuing or renewing letters of credit and (ii) the lenders under the Revolving Credit Agreement or holders of our Existing Notes or other indebtedness may declare all outstanding borrowings and other amounts, together with accrued interest and other fees, to be immediately due and payable and thereby prevent us from making payments on one or more series of the New Notes. Any such actions could force us into bankruptcy or liquidation, and we might not be able to repay our obligations under the New Notes in such an event.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Insolvency laws and other limitations on the Note Guarantee may adversely affect their validity and enforceability.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obligations under the New Notes will be guaranteed by the Parent. The Parent is organized under the laws of the Netherlands. Applicable fraudulent transfer and conveyance, equitable principles and insolvency laws and limitations in the Netherlands on the recognition and enforceability of judgments obtained in New York courts in such jurisdictions could limit the enforceability of the Note Guarantee against the Parent. Courts in the Netherlands 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Netherlands’ fraudulent transfer and insolvency statutes. Further detail and an overview of the enforceability issues as they relate to the Note Guarantee is set forth under “Limitations on Validity and Enforceability of Note Guarantee” included elsewhere in this prospectus.</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It is possible that creditors of the Parent or in an insolvency proceeding, the appointed insolvency administrator, may challenge the Note Guarantee, and intercompany obligations generally, as fraudulent transfers or conveyances or on other grounds. If so, such laws may permit a court, if it makes certain findings, to:</w:t>
      </w:r>
    </w:p>
    <w:p>
      <w:pPr>
        <w:spacing w:after="0" w:line="89" w:lineRule="exact"/>
        <w:rPr>
          <w:sz w:val="20"/>
          <w:szCs w:val="20"/>
          <w:color w:val="auto"/>
        </w:rPr>
      </w:pPr>
    </w:p>
    <w:p>
      <w:pPr>
        <w:ind w:left="5540" w:right="368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or invalidate all or a portion of the Parent’s obligations under its Note Guarantee; 15</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that holders of the Notes return any amounts paid under the Note Guarantee to the Parent or to a fund for the benefit of the Parent’s creditors;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other action that is detrimental to you.</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we cannot satisfy our obligations under the Notes and the Note Guarantee is found to be a fraudulent transfer or conveyance or is otherwise set aside, we cannot assure you that we can ever repay in full any amounts outstanding under the Notes. In addition, the liability of the Parent under its Note Guarantee will be limited to the amount that will result in the Note Guarantee not constituting a fraudulent conveyance or improper corporate distribution or otherwise being set aside. However, there can be no assurance as to what standard a court would apply in making a determination of the maximum liability of the Parent and whether a court would give effect to such attempted limitation. Also, there is a possibility that the entire Note Guarantee may be set aside, in which case, the entire liability may be extinguished.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initiate any of these actions under fraudulent transfer or other applicable principles, courts typically may determine that, at the time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Guarantee was issued, the Issuers or the Parent:</w:t>
      </w:r>
    </w:p>
    <w:p>
      <w:pPr>
        <w:spacing w:after="0" w:line="116" w:lineRule="exact"/>
        <w:rPr>
          <w:sz w:val="20"/>
          <w:szCs w:val="20"/>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such Note Guarantee with the intent or knowledge of hindering, delaying or defrauding current or future creditors or with a desire to prefer some creditors over others;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such Note Guarantee in a situation where a prudent businessman as a shareholder of our company would have contributed equity to our company; or</w:t>
      </w:r>
    </w:p>
    <w:p>
      <w:pPr>
        <w:spacing w:after="0" w:line="75"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received less than reasonably equivalent value for incurring the debt represented by such Note Guarantee on the basis that such Note Guarantee was incurred for our benefit, and only indirectly the Parent’s benefit, or some other basis and (1) was insolvent or rendered insolvent by reason of the issuance of the Note Guarantee, or subsequently became insolvent for other reasons; (2) was engaged, or about to engage, in a business transaction for which the Parent’s (or the Company’s, as applicable) assets were unreasonably small; or</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(3) intended to incur, or believed it would incur, debts beyond its ability to make required payments as and when they would become due.</w:t>
      </w:r>
    </w:p>
    <w:p>
      <w:pPr>
        <w:spacing w:after="0" w:line="23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Different jurisdictions evaluate insolvency on various criteria, but the Company or the Parent generally may in different jurisdictions be considered insolvent at the time it issued the Note Guarantee if:</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its liabilities exceed the fair market value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cannot pay its debts as and when they become due; and/or</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present saleable value of its assets is less than the amount required to pay its total existing debts and liabilities, including contingent and prospective liabilities, as they mature or become absolute.</w:t>
      </w:r>
    </w:p>
    <w:p>
      <w:pPr>
        <w:spacing w:after="0" w:line="170"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 court would not determine, regardless of whether or not any of the Issuers or the Parent was insolvent on the date the Note Guarantee was issued, that payments to holders of the Notes constituted fraudulent transfers on other grounds.</w:t>
      </w:r>
    </w:p>
    <w:p>
      <w:pPr>
        <w:spacing w:after="0" w:line="2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and repay all of our indebtedness, including the New Notes, and may be forced to take other actions to satisfy our obligations under our indebtedness, which may not be successful.</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ability to make scheduled payments or to refinance our debt obligations depends on our financial condition and operating performance, which is subject to prevailing economic and competitive conditions and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certain financial, business, competitive, legislative, regulatory and other factors beyond our control. See “Risk Factors—Risks related to our business operations” included in our annual report on Form 10-K for the year ended December 31, 2021, which is incorporated by reference herein In the future, we may not be able to maintain a level of cash flows from operating activities sufficient to permit us to pay the principal, premium, if any, and interest on our indebtedness, including the New Notes. Our business may not generate sufficient cash flow from operations, or future borrowings under our Revolving Credit Agreement or from other sources may not be available to us in an amount sufficient to enable us to repay our indebtedness, including the New Notes, or to fund our other liquidity needs, including our working capital and capital expenditure requirements, and we may be forced to reduce or delay capital expenditures, sell assets or operations, seek additional capital or restructure or refinance our indebtedness.</w:t>
      </w:r>
    </w:p>
    <w:p>
      <w:pPr>
        <w:spacing w:after="0" w:line="166"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forced to reduce or delay investments and capital expenditures, or to sell assets, seek additional capital, restructure or refinance our indebtedness, including the New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cannot make scheduled payments on our debt, we will be in default and, as a result:</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holders of our debt securities could declare all outstanding principal and interest to be due and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lenders under our Revolving Credit Agreement could terminate their commitments to lend us money;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creditors may accelerate obligations owed to them;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Enforcing your rights as a holder of the New Notes or under the Note Guarantee across multiple jurisdictions may be difficult.</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New Notes will be issued by NXP B.V., which is incorporated under the laws of the Netherlands and NXP Funding LLC and NXP USA, Inc., which are formed under the laws of the state of Delaware in the United States, and guaranteed by the Parent, which is incorporated under the laws of the Netherlands. In the event of bankruptcy, insolvency or a similar event relating to the Issuers or the Parent, proceedings could be initiated in any of these jurisdictions. Your rights under the New Notes and the Note Guarantee will thus be subject to the laws of the Netherlands and the state of Delaware in the United States with respect to the New Notes, and the laws of the Netherlands with respect to the Note Guarantee,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w:t>
      </w:r>
    </w:p>
    <w:p>
      <w:pPr>
        <w:spacing w:after="0" w:line="27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New Notes and the Note Guarantee are effectively junior to all of the Issuers’ and the Parent’s secured debt and structurally subordinated to all of the liabilities, including trade payables, of our subsidiaries that have not guaranteed the New Notes.</w:t>
      </w:r>
    </w:p>
    <w:p>
      <w:pPr>
        <w:spacing w:after="0" w:line="62"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The Notes and the Note Guarantee will rank equal in right of payment with all of the Issuers’ and the Parent’s existing and future senior indebtedness, but will be effectively junior to all of the Issuers’ and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indentures governing the Notes will not prohibit the Issuers from incurring additional senior debt or secured debt, nor will it prohibit any of the Company’s subsidiaries from incurring additional liabilities.</w:t>
      </w:r>
    </w:p>
    <w:p>
      <w:pPr>
        <w:spacing w:after="0" w:line="178"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our other debt will be available to pay obligations in respect of the New Notes only after such secured debt has been repaid in full from these assets. There may not be sufficient assets remaining to pay amounts due on any or all of the New Notes then outstanding.</w:t>
      </w:r>
    </w:p>
    <w:p>
      <w:pPr>
        <w:spacing w:after="0" w:line="292" w:lineRule="exact"/>
        <w:rPr>
          <w:sz w:val="20"/>
          <w:szCs w:val="20"/>
          <w:color w:val="auto"/>
        </w:rPr>
      </w:pPr>
    </w:p>
    <w:p>
      <w:pPr>
        <w:ind w:left="120" w:right="240"/>
        <w:spacing w:after="0" w:line="375" w:lineRule="auto"/>
        <w:rPr>
          <w:sz w:val="20"/>
          <w:szCs w:val="20"/>
          <w:color w:val="auto"/>
        </w:rPr>
      </w:pPr>
      <w:r>
        <w:rPr>
          <w:rFonts w:ascii="Arial" w:cs="Arial" w:eastAsia="Arial" w:hAnsi="Arial"/>
          <w:sz w:val="15"/>
          <w:szCs w:val="15"/>
          <w:b w:val="1"/>
          <w:bCs w:val="1"/>
          <w:i w:val="1"/>
          <w:iCs w:val="1"/>
          <w:color w:val="auto"/>
        </w:rPr>
        <w:t>The Indentures governing the New Notes do not limit our ability to incur additional indebtedness, pay dividends, repurchase securities, engage in transactions with affiliates or engage in other activities that could adversely affect our ability to pay our obligations on the New Notes.</w:t>
      </w:r>
    </w:p>
    <w:p>
      <w:pPr>
        <w:spacing w:after="0" w:line="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Indentures governing the New Notes contain only limited restrictive covenants. The Indentures do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New Notes would be structurally subordinated. Our ability to incur additional indebtedness and use our funds for numerous purposes may limit the funds available to pay our obligations under the New Notes.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required to pay any Additional Amounts as a result of certain changes to tax law, we would have the option to redeem the Notes.</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certain changes in the law of any Relevant Taxing Jurisdiction become effective that would impose withholding taxes or other deductions on the payments on one or more series of the Notes or the Note Guarantee, that would require the payment of Additional Amounts, we may redeem such Notes in whole, but not in part, at any time, at a redemption price of 100% of the principal amount, plus accrued and unpaid interest, if any, and Additional Amounts, if any, to the date of redemption.</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There are circumstances other than repayment or discharge of the New Notes under which the Note Guarantee will be released automatically, without your consent or the consent of the trustee.</w:t>
      </w:r>
    </w:p>
    <w:p>
      <w:pPr>
        <w:spacing w:after="0" w:line="6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Under various circumstances, the Note Guarantee may be released without your consent or the consent of the trustee. For instance, the Note Guarantee of a Subsidiary Guarantor will be released in connection with a sale of such Subsidiary Guarantor.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civil liabilities may not be enforceable against us.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and the Parent are incorporated under the laws of the Netherlands and substantial portions of our assets are located outside of the United States. In addition, certain members of our board, our officers and certain experts named herein reside outside the United States. As a result, it may be difficult for investors to effect service of process within the United States upon us or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provided that earlier decision can be recognized in the Netherlands.</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the Parent or members of our board of directors, officers or certain experts named herein who are residents of the Netherlands or countries other than the United States any judgments obtained in U.S. courts in civil and commercial matters.</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in the event of a change of control.</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experience a change of control triggering event (as defined in the Indentures governing the New Notes) with respect to a series of Notes, we will be required to make an offer to repurchase such series at a price equal to 101% of their principal amount, plus accrued and unpaid interest, if any, to but excluding the date of repurchase. See “Description of the New Notes and the Note Guarantee—Repurchase of Notes upon a Change of Control Triggering Event.” Similarly, upon the occurrence of a change of control, we will be required to make a change of control offer under the Existing Notes.</w:t>
      </w:r>
    </w:p>
    <w:p>
      <w:pPr>
        <w:spacing w:after="0" w:line="18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a change of control triggering event under the New Notes or change of control triggering event under the Existing Notes of any series occurs, and a change of control offer is made, there can be no assurance that we will have available funds sufficient to pay the change of control purchase price for any or all of such New Notes and/or the Existing Notes that might be delivered by holders of the New Notes and/or the Existing Notes seeking to accept the change of control offer and, accordingly, none of the holders of the New Notes and/or the Existing Notes may receive the change of control purchase price for their New Notes and/or Existing Notes. Our failure to make or consummate the change of control offer or pay the change of control purchase price when due will give the trustee and the holders of the New Notes and/or the Existing Notes the rights, or rights similar to the rights described under “Description of the New Notes and the Note Guarantee—Events of Default.”</w:t>
      </w:r>
    </w:p>
    <w:p>
      <w:pPr>
        <w:spacing w:after="0" w:line="17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Moreover, any change of control would constitute an event of default under our Revolving Credit Agreement. Therefore, upon the occurrence of a change of control, the lenders under our Revolving Credit Agreement would have the right to terminate lending commitments and accelerate their loans, in which case, we would be required to prepay all of our outstanding obligations under our Revolving Credit Agreement.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New Notes, Existing Notes or Revolving Credit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adverse rating of any series of New Notes or the Existing Notes may cause the trading prices of the Notes to fall.</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One or more rating services could potentially lower or withdraw entirely the ratings of any series of New Notes or any series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any series of New Notes or any series of the Existing Notes by one or more of the rating services may adversely affect the cost and terms and conditions of our financing and could adversely affect the trading prices of such New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global business operations expose us to international business risks that could adversely affect our business.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any of the following international business risks were to materialize or become worse, they could have a material adverse effect on our business, financial condition and results of operations:</w:t>
      </w:r>
    </w:p>
    <w:p>
      <w:pPr>
        <w:spacing w:after="0" w:line="76" w:lineRule="exact"/>
        <w:rPr>
          <w:sz w:val="20"/>
          <w:szCs w:val="20"/>
          <w:color w:val="auto"/>
        </w:rPr>
      </w:pPr>
    </w:p>
    <w:p>
      <w:pPr>
        <w:ind w:left="1080" w:right="160" w:hanging="424"/>
        <w:spacing w:after="0" w:line="279"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negative economic developments in economies around the world and the instability of governments and international trade arrangements, such as the increase of barriers to international trade including the imposition of tariffs on imports by the United States and China, the withdrawal of the United Kingdom from the European Union, enhanced export controls on certain products and sanctions on certain industry sectors and parties in Russia and the sovereign debt crisis in certain European countries;</w:t>
      </w:r>
    </w:p>
    <w:p>
      <w:pPr>
        <w:spacing w:after="0" w:line="76"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social and political instability in a number of countries around the world, including continued hostilities and civil unrest in the Middle East and the Ukraine. The instability may have a negative effect on our business, financial condition and operations via our customers and global supply chain and volatility in energy prices and the financial markets;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terrorist attacks;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epidemics and pandemics, such as the coronavirus outbreak, which may adversely affect our workforce, as well as our suppliers and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government policies, especially those affecting trade and investment;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foreign currency exchange rates, in particular with respect to the U.S. dollar, and transfer restrictions, in particular in China;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threats that our operations or property could be subject to nationalization and expropriation.</w:t>
      </w:r>
    </w:p>
    <w:p>
      <w:pPr>
        <w:spacing w:after="0" w:line="22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addition, Russia’s recent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and/or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disrupt our operations, or negatively impact the demand for our products in our primary end markets. Any such disruption could result in an adverse impact to our financial results.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receive cash proceeds from the issuance of the New Notes in the Exchange Offers. In consideration for issuing the New Notes in exchange for the Outstanding Notes as described in this prospectus, we will receive notes of equal principal amount. The Outstanding Notes surrendered in exchange for the New Notes will be retired and cancelled.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Exchange Offers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connection with the issuance of the Outstanding Notes, the Issuers and the Guarantors entered into registration rights agreements on (i) June 18, 2019, with respect to the Outstanding 2026 Notes and the Outstanding 2029 Notes; (ii) May 1, 2020, with respect to the Outstanding 2025 Notes, the Outstanding 2027 Notes and the Outstanding 2030 Notes; (iii) May 11, 2021, with respect to the Outstanding 2031 Notes and the Outstanding</w:t>
      </w:r>
    </w:p>
    <w:p>
      <w:pPr>
        <w:spacing w:after="0" w:line="2"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2041 Notes; and (iv) November 30, 2021, with respect to the Outstanding 2032 Notes, the Outstanding 2042 Notes and the Outstanding 2051 Notes (collectively, the “</w:t>
      </w:r>
      <w:r>
        <w:rPr>
          <w:rFonts w:ascii="Arial" w:cs="Arial" w:eastAsia="Arial" w:hAnsi="Arial"/>
          <w:sz w:val="18"/>
          <w:szCs w:val="18"/>
          <w:b w:val="1"/>
          <w:bCs w:val="1"/>
          <w:color w:val="auto"/>
        </w:rPr>
        <w:t>Registration Rights Agreements</w:t>
      </w:r>
      <w:r>
        <w:rPr>
          <w:rFonts w:ascii="Arial" w:cs="Arial" w:eastAsia="Arial" w:hAnsi="Arial"/>
          <w:sz w:val="18"/>
          <w:szCs w:val="18"/>
          <w:color w:val="auto"/>
        </w:rPr>
        <w:t>”). The Exchange Offers will permit eligible holders of the Outstanding Notes to exchange their Outstanding Notes for the applicable series of New Notes, which are identical in all material respects to the Outstanding Notes of such series, except that:</w:t>
      </w:r>
    </w:p>
    <w:p>
      <w:pPr>
        <w:spacing w:after="0" w:line="98"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New Notes have been registered with the SEC under U.S. federal securities laws and will not bear any legend restricting their transfer;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Outstanding Notes of the applicable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New Notes generally will not be subject to transfer restrictions and will not be entitled to registration rights;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the New Notes will not be entitled to earn additional interest under circumstances relating to our registration obligations under the Registration Rights Agreements.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Registration Rights Agreements, the Issuers and the Guarantor agreed that they will, at their expense, for the benefit of the holders of the Outstanding Notes:</w:t>
      </w:r>
    </w:p>
    <w:p>
      <w:pPr>
        <w:spacing w:after="0" w:line="72" w:lineRule="exact"/>
        <w:rPr>
          <w:sz w:val="20"/>
          <w:szCs w:val="20"/>
          <w:color w:val="auto"/>
        </w:rPr>
      </w:pPr>
    </w:p>
    <w:p>
      <w:pPr>
        <w:ind w:left="1080" w:right="160" w:hanging="424"/>
        <w:spacing w:after="0" w:line="282"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 commercially reasonable efforts to file a registration statement (“</w:t>
      </w:r>
      <w:r>
        <w:rPr>
          <w:rFonts w:ascii="Arial" w:cs="Arial" w:eastAsia="Arial" w:hAnsi="Arial"/>
          <w:sz w:val="18"/>
          <w:szCs w:val="18"/>
          <w:b w:val="1"/>
          <w:bCs w:val="1"/>
          <w:color w:val="auto"/>
        </w:rPr>
        <w:t>Exchange Offer Registration Statement</w:t>
      </w:r>
      <w:r>
        <w:rPr>
          <w:rFonts w:ascii="Arial" w:cs="Arial" w:eastAsia="Arial" w:hAnsi="Arial"/>
          <w:sz w:val="18"/>
          <w:szCs w:val="18"/>
          <w:color w:val="auto"/>
        </w:rPr>
        <w:t>”) with respect to an offer to exchange each series of Outstanding Notes for the New Notes; and</w:t>
      </w:r>
    </w:p>
    <w:p>
      <w:pPr>
        <w:spacing w:after="0" w:line="71" w:lineRule="exact"/>
        <w:rPr>
          <w:rFonts w:ascii="Arial" w:cs="Arial" w:eastAsia="Arial" w:hAnsi="Arial"/>
          <w:sz w:val="18"/>
          <w:szCs w:val="18"/>
          <w:color w:val="auto"/>
        </w:rPr>
      </w:pPr>
    </w:p>
    <w:p>
      <w:pPr>
        <w:ind w:left="1080" w:right="34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consummate the Exchange Offers on or prior to (i) June 30, 2022, with respect to the Outstanding 2025 Notes, the Outstanding 2026 Notes, the Outstanding 2027 Notes, the Outstanding 2029 Notes, the Outstanding 2030 Notes, the Outstanding 2031 Notes, and the Outstanding 2041 Notes and (ii) November 30, 2022, with respect to the Outstanding 2031 Notes, the Outstanding 2042 Notes and the Outstanding 2051 Notes.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effectiveness of the registration statement of which this prospectus is a part, we will offer the New Notes in exchange for the Outstanding Notes in the Exchange Offers made pursuant to the Registration Rights Agreements. Copies of the Registration Rights Agreements are filed as exhibits to the registration statement of which this prospectus is a part.</w:t>
      </w:r>
    </w:p>
    <w:p>
      <w:pPr>
        <w:spacing w:after="0" w:line="18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Exchange Offers are not being made to, nor will we accept tenders for exchange from, holders of the Outstanding Notes in any jurisdiction in which the Exchange Offers or the acceptance of it would not be in compliance with the securities or blue sky laws of such jurisdiction.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Exchange Offers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are offering to exchange up to $500,000,000 aggregate principal amount of our New 2025 Notes for a like aggregate principal amount of our Outstanding 2025 Notes, up to $750,000,000 aggregate principal amount of our New 2026 Notes for a like aggregate principal amount of our Outstanding 2026 Notes, up to $500,000 000 aggregate principal amount of our New 2027 Notes for a like aggregate principal amount of our Outstanding 2027 Notes, up to $1,000 000,000 aggregate principal amount of our New 2029 Notes for a like aggregate principal amount of our Outstanding 2029 Notes, up to $1,000,000,000 aggregate principal amount of our New 2030 Notes for a like aggregate principal amount of our Outstanding 2030 Notes, up to $1,000,000,000 aggregate principal amount of our New 2031 Notes for a like aggregate principal amount of our Outstanding 2031 Notes,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 to $1,000,000,000 aggregate principal amount of our New 2032 Notes for a like aggregate principal amount of our Outstanding 2032 Notes, up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$1,000,000,000 aggregate principal amount of our New 2041 Notes for a like aggregate principal amount of our Outstanding 2041 Notes,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$500,000,000 aggregate principal amount of our New 2042 Notes for a like aggregate principal amount of our Outstanding 2042 Notes, and up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$500,000,000 aggregate principal amount of our New 2051 Notes for a like aggregate principal amount of our Outstanding 2051 Notes. The Outstanding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of each series must be tendered properly in accordance with the conditions set forth in this prospectus on or prior to the Expiration Date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applicable to such series and not withdrawn as permitted below. In exchange for Outstanding 2025 Notes properly tendered and accepted, we will issue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like total principal amount of up to $500,000,000 in New 2025 Notes, in exchange for Outstanding 2026 Notes properly tendered and accepted, we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issue a like total principal amount of up to $750,000,000 in New 2026 Notes, in exchange for Outstanding 2027 Notes properly tendered and accepted,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will issue a like total principal amount of up to $500,000,000 in New 2027 Notes, in exchange for Outstanding 2029 Notes properly tendered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accepted, we will issue a like total principal amount of up to $1,000,000,000 in New 2029 Notes, in exchange for Outstanding 2030 Notes properly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tendered and accepted, we will issue a like total principal amount of up to $1,000,000,000 in New 2030 Notes, in exchange for Outstanding 2031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properly tendered and accepted, we will issue a like total principal amount of up to $1,000,000,000 in New 2031 Notes, in exchange for Outstanding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2032 Notes properly tendered and accepted, we will issue a like total principal amount of up to $1,000,000,000 in New 2032 Notes, in exchange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2041 Notes properly tendered and accepted, we will issue a like total principal amount of up to $1,000,000,000 in New 2041 Notes,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exchange for Outstanding 2042 Notes properly tendered and accepted, we will issue a like total principal amount of up to $500,000,000 in New 2042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and in exchange for Outstanding 2051 Notes properly tendered and accepted, we will issue a like total principal amount of up to $500,000,000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2051 Notes.</w:t>
      </w:r>
    </w:p>
    <w:p>
      <w:pPr>
        <w:spacing w:after="0" w:line="21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Subject to terms and conditions detailed in this prospectus, we will accept for exchange Outstanding Notes of each series which are properly tendered on or prior to the Expiration Date applicable to such series and not withdrawn as permitted below. As used herein, the term “Expiration Date” initially means 5:00 p.m., New York City time, on May 12, 2022. We may, however, in our sole discretion, extend the period of time during which the Exchange Offers are open with respect to any series of the Outstanding Notes. The term “Expiration Date” means the latest time and date to which the Exchange Offers are extended with respect to a series.</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This prospectus is first being sent on or about April 14, 2022, to all holders of Outstanding Notes known to us. Our obligation to accept Outstanding Notes for exchange in the Exchange Offers is subject to the conditions described below under the heading “—Conditions to the Exchange Offers.” The Exchange Offers are not conditioned upon holders tendering a minimum principal amount of Outstanding Notes. As of the date of this prospectus, $500,000,000 aggregate principal amount of Outstanding 2025 Notes, $750,000,000 aggregate principal amount of Outstanding 2026 Notes, $500,000,000 aggregate principal amount of Outstanding 2027 Notes, $1,000,000,000 aggregate principal amount of Outstanding 2029 Notes, $1,000,000,000 aggregate principal amount of Outstanding 2030 Notes, $1,000,000,000 aggregate principal amount of Outstanding 2032 Notes, $1,000,000,000 aggregate principal amount of Outstanding 2041 Notes, $500,000,000 aggregate principal amount of Outstanding 2042 Notes and $500,000,000 aggregate principal amount of Outstanding 2051 Notes are outstanding.</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Outstanding Notes tendered in the Exchange Offers must be in denominations of the principal amount of $2,000 and any integral multiple of $1,000 in excess thereof.</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Holders of the Outstanding Notes do not have any appraisal or dissenters’ rights in connection with the Exchange Offers. If you do not tender your Outstanding Notes or if you tender Outstanding Notes that we do not accept, your Outstanding Notes will remain outstanding. Any Outstanding Notes will be entitled to the benefits of the Indentures but will not be entitled to any further registration rights under the Registration Rights Agreements, except under limited circumstances. Existing transfer restrictions would continue to apply to such Outstanding Notes. See “Risk Factors—There are significant consequences if you fail to exchange your Outstanding Notes” for more information regarding Outstanding Notes outstanding after the Exchange Offers.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the Expiration Date, we will return to the holder any tendered Outstanding Notes that we did not accept for exchange.</w:t>
      </w:r>
    </w:p>
    <w:p>
      <w:pPr>
        <w:spacing w:after="0" w:line="2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color w:val="auto"/>
        </w:rPr>
        <w:t>NEITHER WE, OUR BOARDS OF DIRECTORS (OR SIMILAR GOVERNING BODIES), OUR MANAGEMENT NOR THE EXCHANGE AGENT MAKE ANY RECOMMENDATION TO THE HOLDERS OF THE OUTSTANDING NOTES AS TO WHETHER TO TENDER OR REFRAIN FROM TENDERING ALL OR ANY PORTION OF THEIR OUTSTANDING NOTES IN THE EXCHANGE OFFERS. IN ADDITION, NO ONE HAS BEEN AUTHORIZED TO MAKE ANY SUCH RECOMMENDATION. HOLDERS OF THE OUTSTANDING NOTES MUST MAKE THEIR OWN DECISION WHETHER TO TENDER PURSUANT TO THE EXCHANGE OFFERS, AND, IF SO, THE AGGREGATE AMOUNT OF OUTSTANDING NOTES TO TENDER AFTER READING THIS PROSPECTUS AND CONSULTING WITH THEIR ADVISERS, IF ANY, BASED ON THEIR FINANCIAL POSITION AND REQUIREMENTS.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delay the acceptance of the Outstanding Notes of any series;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terminate the Exchange Offer with respect to any series of Outstanding Notes and not accept any Outstanding Notes of one or more series for exchange if we determine that any of the conditions to the Exchange Offers with respect to any series have not occurred or have not been satisfied;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Offers with respect to one or more series and retain all Outstanding Notes of the applicable series tendered in the Exchange Offers other than those notes properly withdrawn;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Offers with respect to one or more series in any manner.</w:t>
      </w:r>
    </w:p>
    <w:p>
      <w:pPr>
        <w:spacing w:after="0" w:line="22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materially amend the Exchange Offers with respect to one or more series, we will as promptly as practicable distribute a prospectus supplement to the holders of the Outstanding Notes of the applicable series disclosing the change and extend the Exchange Offers of the applicable series.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If we exercise any of the rights listed above, we will as promptly as practicable give written notice of the action to the exchange agent and will make a public announcement of such action. In the case of an extension, an announcement will be made no later than 9:00 a.m., New York City time on the next business day after the previously scheduled Expiration Date with respect to the applicable series.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Acceptance of Outstanding Notes for Exchange and Issuance of New Notes</w:t>
      </w:r>
    </w:p>
    <w:p>
      <w:pPr>
        <w:spacing w:after="0" w:line="121"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Upon satisfaction or waiver of all of the conditions of the Exchange Offer of a particular series, as promptly as practicable after the Expiration Date, we will accept all Outstanding Notes of any series validly tendered and not properly withdrawn, and we will issue New Notes of the applicable series registered under the Securities Act to the exchange agent. The exchange agent might not deliver the New Notes to all tendering holders at the same time. The timing of delivery depends upon when the exchange agent receives and processes the required documents.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be deemed to have exchanged Outstanding Notes of any series validly tendered and not withdrawn when we give written notice to the exchange agent of our acceptance of the tendered Outstanding Notes of any series. The exchange agent is our agent for receiving tenders of Outstanding Notes, letters of transmittal and related documents.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tendering Outstanding Notes, you must warrant in an agent’s message (described below) that:</w:t>
      </w:r>
    </w:p>
    <w:p>
      <w:pPr>
        <w:spacing w:after="0" w:line="131" w:lineRule="exact"/>
        <w:rPr>
          <w:sz w:val="20"/>
          <w:szCs w:val="20"/>
          <w:color w:val="auto"/>
        </w:rPr>
      </w:pPr>
    </w:p>
    <w:p>
      <w:pPr>
        <w:ind w:left="5540" w:right="2880" w:hanging="4884"/>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Outstanding Notes; 24</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Outstanding Notes, free and clear of all liens, restrictions, charges and other encumbrances;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Outstanding Notes tendered for exchange are not subject to any adverse claims or proxies.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Outstanding Notes.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holder of each Outstanding Note accepted for exchange will receive a New Note in the amount equal to the surrendered Outstanding Note. Holders of New Notes on the relevant record date for the first interest payment date following the consummation of the Exchange Offers will receive interest accruing from the later of the date of issuance and the most recent date to which interest has been paid on the Outstanding Notes. Holders of New Notes will not receive any payment in respect of accrued interest on Outstanding Notes otherwise payable on any interest payment date, the record date for which occurs on or prior to the consummation of the Exchange Offers.</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any tendered Outstanding Notes are not accepted for any reason set forth in the terms and conditions of the Exchange Offers or if Outstanding Notes are submitted for a greater principal amount than the holder desires to exchange, such unaccepted or non-exchanged Outstanding Notes will be returned without expense to the tendering holder (or, in the case of Outstanding Notes tendered by book entry transfer into the exchange agent’s account at DTC pursuant to the book-entry procedures described below, such non-exchanged Outstanding Notes will be credited to an account maintained with DTC as promptly as practicable after the expiration or termination of the Exchange Offers).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Tendering Outstanding Notes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To participate in the Exchange Offers, you must properly tender your Outstanding Notes to the exchange agent as described below. We will only issue New Notes in exchange for Outstanding Notes that you timely and properly tender. Therefore, you should allow sufficient time to ensure timely delivery of the Outstanding Notes, and you should follow carefully the instructions on how to tender your Outstanding Notes. It is your responsibility to properly tender your Outstanding Notes. We have the right to waive any defects. However, we are not required to waive defects, and neither we nor the exchange agent is required to notify you of any defects in your tender.</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you have any questions or need help in exchanging your Outstanding Notes, please call the exchange agent whose address and phone number are described in this prospectus.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All of the Outstanding Notes were issued in book-entry form, and all of the Outstanding Notes are currently represented by global certificates registered in the name of Cede &amp; Co., the nominee of DTC. We have confirmed with DTC that the Outstanding Notes may be tendered using ATOP. The exchange agent will establish an account with DTC for purposes of the Exchange Offers promptly after the commencement of the Exchange Offers, and DTC participants may electronically transmit their acceptance of the Exchange Offers by causing DTC to transfer their Outstanding Notes to the exchange agent using the ATOP procedures. In connection with the transfer, DTC will send an “agent’s message” to the exchange agent. The agent’s message will state that DTC has received instructions from the participant to tender Outstanding Notes and that the participant agrees to be bound by the terms of this prospectus.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procedure for guaranteed late delivery of the Outstanding Notes.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you beneficially own Outstanding Notes that are registered in the name of a broker, dealer, commercial bank, trust company or other nominee and you wish to tender those notes, you should contact the registered holder as soon as possible and instruct the registered holder to tender on your behalf.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Validity</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We, in our sole discretion, will resolve all questions regarding the form of documents, validity, eligibility, including time of receipt, and acceptance for exchange of any tendered Outstanding Notes. Our determination of these questions as well as our interpretation of the terms and conditions of the Exchange Offers will be final and binding on all parties. A tender of Outstanding Notes is invalid until all defects and irregularities have been cured or waived. Holders must cure any defects and irregularities in connection with tenders of Outstanding Notes for exchange 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they be liable for failing to give any such notice.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reject any tenders determined to be in improper form or unlawful;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with respect to any series of notes;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Outstanding Notes by any holder, whether or not we waive similar conditions or irregularities in the case of other holders.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any endorsement, bond power, power of attorney, or any other document required by the Exchange Offers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Resales of New Notes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Based on interpretive letters issued by the SEC staff to third parties in transactions similar to the Exchange Offers, we believe that a holder of New Notes, other than a broker-dealer, may offer New Notes for resale, resell and otherwise transfer the New Notes without delivering a prospectus to prospective purchasers, if the holder acquired the New Notes in the ordinary course of business, has no intention of engaging in a “distribution” (as defined under the Securities Act) of the New Notes and is not an “affiliate” (as defined under the Securities Act) of the Issuers. We will not seek our own interpretive letter. As a result, we cannot assure you that the staff will take the same position on these Exchange Offers as it did in interpretive letters to other parties in similar transactions.</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By tendering Outstanding Notes, the holder, other than participating broker-dealers, as defined below, of those Outstanding Notes is deemed to represent to us that, among other things:</w:t>
      </w:r>
    </w:p>
    <w:p>
      <w:pPr>
        <w:spacing w:after="0" w:line="76" w:lineRule="exact"/>
        <w:rPr>
          <w:sz w:val="20"/>
          <w:szCs w:val="20"/>
          <w:color w:val="auto"/>
        </w:rPr>
      </w:pPr>
    </w:p>
    <w:p>
      <w:pPr>
        <w:ind w:left="1080" w:right="4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Notes acquired in the Exchange Offers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(within the meaning of Rule 405 under the Securities Act) of the Issuers.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any holder or any such other person is an “affiliate” of the Issuers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5540" w:right="34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 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4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Each broker-dealer that receives New Notes for its own account in exchange for Outstanding Notes must represent that the Outstanding Notes to be exchanged for the New Notes were acquired by it as a result of market-making activities or other trading activities and acknowledge that it will deliver a prospectus (or, to the extent permitted by law, make available a prospectus) meeting the requirements of the Securities Act in connection with any offer to resell, resale or other retransfer of the New Notes pursuant to the Exchange Offers. Any such broker-dealer is referred to as a participating broker-dealer. However, by so acknowledging and by delivering a prospectus, the participating broker-dealer will not be deemed to admit that it is an “underwriter” (as defined under the Securities Act). If a broker-dealer acquired Outstanding Notes as a result of market-making or other trading activities, it may use this prospectus, as amended or supplemented, in connection with offers to resell, resales or retransfers of New Notes received in exchange for the Outstanding Notes pursuant to the Exchange Offers. We have agreed that, during the period ending 180 days after the consummation of the respective Exchange Offers, subject to extension in limited circumstances, we will use all commercially reasonable efforts to keep the Exchange Offer registration statement effective and make this prospectus available to any broker-dealer for use in connection with any such resale. See “Plan of Distribution” for a discussion of the exchange and resale obligations of broker-dealers in connection with the Exchange Offers.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You can withdraw tenders of Outstanding Notes of any series at any time prior to 5:00 p.m., New York City time, on the Expiration Date with respect to such series.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For a withdrawal to be effective, you must either deliver a written notice of withdrawal to the exchange agent, or submit a withdrawal request through ATOP in accordance with ATOP procedures. The notice of withdrawal must:</w:t>
      </w:r>
    </w:p>
    <w:p>
      <w:pPr>
        <w:spacing w:after="0" w:line="76"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specify the name of the person tendering the Outstanding Notes to be withdrawn;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the Outstanding Notes to be withdrawn, including the total principal amount of Outstanding Notes to be withdrawn;</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 certificates for Outstanding Notes are transmitted, list the name of the registered holder of the Outstanding Notes if different from the person withdrawing the Outstanding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contain a statement that the holder is withdrawing his election to have the Outstanding Notes exchanged;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accompanied by documents of transfer to have the trustee with respect to the Outstanding Notes register the transfer of the Outstanding Notes in the name of the person withdrawing the tender.</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notice of withdrawal must specify the name and number of the account at DTC to be credited with the withdrawn Outstanding Notes and you must deliver the notice of withdrawal to the exchange agent. You may not rescind withdrawals of tender; however, Outstanding Notes properly withdrawn may again be tendered at any time on or prior to the expiration date.</w:t>
      </w:r>
    </w:p>
    <w:p>
      <w:pPr>
        <w:spacing w:after="0" w:line="1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Offers will be final and binding on all parties. Neither us, any of our affiliates or assigns, the exchange agent nor any other person is under any obligation to give notice of any irregularities in any notice of withdrawal, nor will they be liable for failing to give any such notice.</w:t>
      </w:r>
    </w:p>
    <w:p>
      <w:pPr>
        <w:spacing w:after="0" w:line="17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In the case of Outstanding Notes tendered by book-entry transfer through DTC, the Outstanding Notes withdrawn or not exchanged will be credited to an account maintained with DTC. Withdrawn Outstanding Notes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will be returned to the holder after withdrawal. The Outstanding Notes will be returned or credited to the account maintained with DTC as soon as practicable after withdrawal, rejection of tender or termination of the Exchange Offers. Any Outstanding Notes which have been tendered for exchange but which are not exchanged for any reason will be returned to the holder thereof without cost to the holder.</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Properly withdrawn Outstanding Notes may again be tendered by following one of the procedures described under “—Procedures for Tendering Outstanding Notes” above at any time prior to 5:00 p.m., New York City time, on the applicable Expiration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Exchange Offers</w:t>
      </w:r>
    </w:p>
    <w:p>
      <w:pPr>
        <w:spacing w:after="0" w:line="121"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Notwithstanding any other provision of the Exchange Offers, we are not required to accept for exchange, or to issue New Notes in exchange for, any Outstanding Notes, and we may terminate or amend the Exchange Offers with respect to any series of notes, if at any time prior to 5:00 p.m., New York City time, on the applicable Expiration Date, we determine that such Exchange Offer violates applicable law or SEC policy.</w:t>
      </w:r>
    </w:p>
    <w:p>
      <w:pPr>
        <w:spacing w:after="0" w:line="14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If we determine that a waiver of conditions materially changes the Exchange Offers with respect to any series, the prospectus will be amended or supplemented, and the Exchange Offers extended with respect to any series, if appropriate, as described under “—Terms of the Exchange Offers.”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Indentures under the Trust Indenture Act of 1939, as amended (the “</w:t>
      </w:r>
      <w:r>
        <w:rPr>
          <w:rFonts w:ascii="Arial" w:cs="Arial" w:eastAsia="Arial" w:hAnsi="Arial"/>
          <w:sz w:val="18"/>
          <w:szCs w:val="18"/>
          <w:b w:val="1"/>
          <w:bCs w:val="1"/>
          <w:color w:val="auto"/>
        </w:rPr>
        <w:t>Trust Indenture Act</w:t>
      </w:r>
      <w:r>
        <w:rPr>
          <w:rFonts w:ascii="Arial" w:cs="Arial" w:eastAsia="Arial" w:hAnsi="Arial"/>
          <w:sz w:val="18"/>
          <w:szCs w:val="18"/>
          <w:color w:val="auto"/>
        </w:rPr>
        <w:t>”), we will not accept for exchange any Outstanding Notes of the applicable series tendered, and no New Notes will be issued in exchange for any such Outstanding Notes.</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we terminate or suspend the Exchange Offers with respect to any series (i) based on a determination that such Exchange Offer violates applicable law or is prohibited by the SEC or applicable interpretations of the SEC staff or (ii) upon receipt of a written request from any initial purchaser representing that it holds registrable securities that are or were ineligible to be exchanged in the Exchange Offer, the Registration Rights Agreements require that we, at our own cost, use our commercially reasonable efforts to cause a shelf registration statement covering the resale of the Outstanding Notes of such series to be filed and declared effective by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appointed Deutsche Bank Trust Company Americas as exchange agent for the Exchange Offers. You should direct questions and requests for assistance, requests for additional copies of this prospectus to the exchange agent at the address and phone number as follows: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By registered or certified mail, hand delivery or overnight courier:</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 DB Services Americas,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Transfer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Jacksonville, FL 32256</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or by email at transfer.operations@db.com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information call:</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1-800-735-7777 Opt 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or by email at transfer.operations@db.com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deliver any other documents to an address other than those listed above, your tender is invalid.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Registration Rights Agreements provide that we will bear all expenses in connection with the performance of our obligations relating to the registration of the New Notes and the conduct of the Exchange Offers.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w:t>
      </w:r>
    </w:p>
    <w:p>
      <w:pPr>
        <w:spacing w:after="0" w:line="16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have not retained any dealer-manager in connection with the Exchange Offers and will not pay any fee or commission to any broker, dealer, nominee or other person, other than the exchange agent, for soliciting tenders of Outstanding Notes pursuant to the Exchange Offers.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Holders who tender their Outstanding Notes for exchange will not be obligated to pay any transfer taxes in connection with the exchange. If, however, New Notes issued in the Exchange Offers are to be delivered to, or are to be issued in the name of, any person other than the holder of the Outstanding Notes tendered, or if a transfer tax is imposed for any reason other than the exchange of Outstanding Notes in connection with the Exchange Offers, then the holder must pay any such transfer taxes, whether imposed on the registered holder or on any other person. If satisfactory evidence of payment of, or exemption from, such taxes is not submitted with their tender, the amount of such transfer taxes will be billed directly to the tendering holder.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We will record the New Notes at the same carrying value as the Outstanding Notes as reflected in our accounting records on the date of the exchange. Accordingly, we will not recognize any gain or loss for accounting purposes upon completion of the Exchange Offers.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Failure to Exchange Outstanding Notes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Holders who desire to tender their Outstanding Notes in exchange for New Notes should allow sufficient time to ensure timely delivery. Neither the exchange agent nor the Issuers is under any duty to give notification of defects or irregularities with respect to the tenders of notes for exchange.</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Outstanding Notes that are not tendered or are tendered but not accepted will, following the consummation of the Exchange Offers, continue to be subject to the provisions in the applicable Indenture regarding the transfer and exchange of the Outstanding Notes and the existing restrictions on transfer set forth in the legend on the Outstanding Notes and in the offering memorandum relating to the Outstanding Notes. Except in limited circumstances with respect to specific types of holders of Outstanding Notes, we will have no further obligation to provide for the registration under the Securities Act of such Outstanding Notes. In general, Outstanding Notes, unless registered under the Securities Act, may not be offered or sold except pursuant to an exemption from, or in a transaction not subject to, the Securities Act and applicable state securities laws. We do not currently anticipate that we will take any action to register the Outstanding Notes under the Securities Act or under any state securities laws.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Upon completion of the Exchange Offers, holders of the Outstanding Notes will not be entitled to any further registration rights under the Registration Rights Agreements, except under limited circumstances. Holders of the New Notes and any Outstanding Notes of the applicable series which remain outstanding after consummation of the Exchange Offers will vote together as a single class for purposes of determining whether holders of the requisite percentage of the class have taken certain actions or exercised certain rights under the applicable Indenture.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Exchanging Outstanding Notes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we believe that the New Notes may be offered for resale, resold or otherwise transferred by holders after the Exchange Offers other than by any holder who is an “affiliate” (as defined in Rule 405 under the Securities Act) of the Issuers. Such notes may be offered for resale, resold or otherwise transferred without compliance with the registration and prospectus delivery provisions of the Securities Act, if:</w:t>
      </w:r>
    </w:p>
    <w:p>
      <w:pPr>
        <w:spacing w:after="0" w:line="9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such holder’s business; and</w:t>
      </w:r>
    </w:p>
    <w:p>
      <w:pPr>
        <w:spacing w:after="0" w:line="130"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holder, other than a broker-dealer, has no arrangement or understanding with any person to participate in the distribution of the New Notes. However, the SEC has not considered the Exchange Offers in the context of a no-action letter and we cannot guarantee that the staff of the SEC would make a similar determination with respect to the Exchange Offers as in such other circumstances. Each holder, other than a broker-dealer, by tendering Outstanding Notes in the Exchange Offers, is deemed to represent and must furnish a written representation, at our request, that:</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Offers, the holder has no arrangement or understanding with any person to participate in a “distribution” of the New Notes in violation of the provisions of the Securities Act;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not an affiliate of the Issuers.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Each broker-dealer that receives New Notes for its own account in exchange for Outstanding Notes must acknowledge that such Outstanding Notes were acquired by such broker-dealer as a result of market-making or other trading activities and that it will deliver or make available a prospectus in connection with any resale of such New Notes. See “Plan of Distribution” for a discussion of the exchange and resale obligations of broker-dealers in connection with the Exchange Offers.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NEW NOTES AND THE NOTE GUARANTEE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Issuers will issue up to (i) $500.0 million 2.700% senior notes due 2025 (the “</w:t>
      </w:r>
      <w:r>
        <w:rPr>
          <w:rFonts w:ascii="Arial" w:cs="Arial" w:eastAsia="Arial" w:hAnsi="Arial"/>
          <w:sz w:val="16"/>
          <w:szCs w:val="16"/>
          <w:b w:val="1"/>
          <w:bCs w:val="1"/>
          <w:color w:val="auto"/>
        </w:rPr>
        <w:t>New 2025 Notes</w:t>
      </w:r>
      <w:r>
        <w:rPr>
          <w:rFonts w:ascii="Arial" w:cs="Arial" w:eastAsia="Arial" w:hAnsi="Arial"/>
          <w:sz w:val="16"/>
          <w:szCs w:val="16"/>
          <w:color w:val="auto"/>
        </w:rPr>
        <w:t>”), (ii) $750.0 million 3.875% senior notes due</w:t>
      </w:r>
    </w:p>
    <w:p>
      <w:pPr>
        <w:spacing w:after="0" w:line="50"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2026 (the “</w:t>
      </w:r>
      <w:r>
        <w:rPr>
          <w:rFonts w:ascii="Arial" w:cs="Arial" w:eastAsia="Arial" w:hAnsi="Arial"/>
          <w:sz w:val="16"/>
          <w:szCs w:val="16"/>
          <w:b w:val="1"/>
          <w:bCs w:val="1"/>
          <w:color w:val="auto"/>
        </w:rPr>
        <w:t>New 2026 Notes</w:t>
      </w:r>
      <w:r>
        <w:rPr>
          <w:rFonts w:ascii="Arial" w:cs="Arial" w:eastAsia="Arial" w:hAnsi="Arial"/>
          <w:sz w:val="16"/>
          <w:szCs w:val="16"/>
          <w:color w:val="auto"/>
        </w:rPr>
        <w:t>”), (iii) $500.0 million 3.150% senior notes due 2027 (the “</w:t>
      </w:r>
      <w:r>
        <w:rPr>
          <w:rFonts w:ascii="Arial" w:cs="Arial" w:eastAsia="Arial" w:hAnsi="Arial"/>
          <w:sz w:val="16"/>
          <w:szCs w:val="16"/>
          <w:b w:val="1"/>
          <w:bCs w:val="1"/>
          <w:color w:val="auto"/>
        </w:rPr>
        <w:t>New 2027 Notes</w:t>
      </w:r>
      <w:r>
        <w:rPr>
          <w:rFonts w:ascii="Arial" w:cs="Arial" w:eastAsia="Arial" w:hAnsi="Arial"/>
          <w:sz w:val="16"/>
          <w:szCs w:val="16"/>
          <w:color w:val="auto"/>
        </w:rPr>
        <w:t>”), (iv) $1,000.0 million 4.300% senior notes due 2029 (the “</w:t>
      </w:r>
      <w:r>
        <w:rPr>
          <w:rFonts w:ascii="Arial" w:cs="Arial" w:eastAsia="Arial" w:hAnsi="Arial"/>
          <w:sz w:val="16"/>
          <w:szCs w:val="16"/>
          <w:b w:val="1"/>
          <w:bCs w:val="1"/>
          <w:color w:val="auto"/>
        </w:rPr>
        <w:t>New 2029 Notes</w:t>
      </w:r>
      <w:r>
        <w:rPr>
          <w:rFonts w:ascii="Arial" w:cs="Arial" w:eastAsia="Arial" w:hAnsi="Arial"/>
          <w:sz w:val="16"/>
          <w:szCs w:val="16"/>
          <w:color w:val="auto"/>
        </w:rPr>
        <w:t>”), (v) $1,000.0 million 3.400% senior notes due 2030 (the “</w:t>
      </w:r>
      <w:r>
        <w:rPr>
          <w:rFonts w:ascii="Arial" w:cs="Arial" w:eastAsia="Arial" w:hAnsi="Arial"/>
          <w:sz w:val="16"/>
          <w:szCs w:val="16"/>
          <w:b w:val="1"/>
          <w:bCs w:val="1"/>
          <w:color w:val="auto"/>
        </w:rPr>
        <w:t>New 2030 Notes</w:t>
      </w:r>
      <w:r>
        <w:rPr>
          <w:rFonts w:ascii="Arial" w:cs="Arial" w:eastAsia="Arial" w:hAnsi="Arial"/>
          <w:sz w:val="16"/>
          <w:szCs w:val="16"/>
          <w:color w:val="auto"/>
        </w:rPr>
        <w:t>”), (vi) $1,000.0 million 2.500% senior notes due 2031 (the “</w:t>
      </w:r>
      <w:r>
        <w:rPr>
          <w:rFonts w:ascii="Arial" w:cs="Arial" w:eastAsia="Arial" w:hAnsi="Arial"/>
          <w:sz w:val="16"/>
          <w:szCs w:val="16"/>
          <w:b w:val="1"/>
          <w:bCs w:val="1"/>
          <w:color w:val="auto"/>
        </w:rPr>
        <w:t>New 2031 Notes</w:t>
      </w:r>
      <w:r>
        <w:rPr>
          <w:rFonts w:ascii="Arial" w:cs="Arial" w:eastAsia="Arial" w:hAnsi="Arial"/>
          <w:sz w:val="16"/>
          <w:szCs w:val="16"/>
          <w:color w:val="auto"/>
        </w:rPr>
        <w:t>”), (vii) $1,000.0 million 2.650% senior notes due 2032 (the “</w:t>
      </w:r>
      <w:r>
        <w:rPr>
          <w:rFonts w:ascii="Arial" w:cs="Arial" w:eastAsia="Arial" w:hAnsi="Arial"/>
          <w:sz w:val="16"/>
          <w:szCs w:val="16"/>
          <w:b w:val="1"/>
          <w:bCs w:val="1"/>
          <w:color w:val="auto"/>
        </w:rPr>
        <w:t>New 2032 Notes</w:t>
      </w:r>
      <w:r>
        <w:rPr>
          <w:rFonts w:ascii="Arial" w:cs="Arial" w:eastAsia="Arial" w:hAnsi="Arial"/>
          <w:sz w:val="16"/>
          <w:szCs w:val="16"/>
          <w:color w:val="auto"/>
        </w:rPr>
        <w:t>”), (viii) $1,000.0 million 3.250% senior notes due 2041 (the “</w:t>
      </w:r>
      <w:r>
        <w:rPr>
          <w:rFonts w:ascii="Arial" w:cs="Arial" w:eastAsia="Arial" w:hAnsi="Arial"/>
          <w:sz w:val="16"/>
          <w:szCs w:val="16"/>
          <w:b w:val="1"/>
          <w:bCs w:val="1"/>
          <w:color w:val="auto"/>
        </w:rPr>
        <w:t>New 2041 Notes</w:t>
      </w:r>
      <w:r>
        <w:rPr>
          <w:rFonts w:ascii="Arial" w:cs="Arial" w:eastAsia="Arial" w:hAnsi="Arial"/>
          <w:sz w:val="16"/>
          <w:szCs w:val="16"/>
          <w:color w:val="auto"/>
        </w:rPr>
        <w:t>”), (ix) $500.0 million 3.125% senior notes due 2042 (the “</w:t>
      </w:r>
      <w:r>
        <w:rPr>
          <w:rFonts w:ascii="Arial" w:cs="Arial" w:eastAsia="Arial" w:hAnsi="Arial"/>
          <w:sz w:val="16"/>
          <w:szCs w:val="16"/>
          <w:b w:val="1"/>
          <w:bCs w:val="1"/>
          <w:color w:val="auto"/>
        </w:rPr>
        <w:t>New 2042 Notes</w:t>
      </w:r>
      <w:r>
        <w:rPr>
          <w:rFonts w:ascii="Arial" w:cs="Arial" w:eastAsia="Arial" w:hAnsi="Arial"/>
          <w:sz w:val="16"/>
          <w:szCs w:val="16"/>
          <w:color w:val="auto"/>
        </w:rPr>
        <w:t>”) and (x) $500.0 million</w:t>
      </w:r>
    </w:p>
    <w:p>
      <w:pPr>
        <w:spacing w:after="0" w:line="2" w:lineRule="exact"/>
        <w:rPr>
          <w:sz w:val="20"/>
          <w:szCs w:val="20"/>
          <w:color w:val="auto"/>
        </w:rPr>
      </w:pPr>
    </w:p>
    <w:p>
      <w:pPr>
        <w:ind w:left="120" w:right="280"/>
        <w:spacing w:after="0" w:line="323" w:lineRule="auto"/>
        <w:rPr>
          <w:sz w:val="20"/>
          <w:szCs w:val="20"/>
          <w:color w:val="auto"/>
        </w:rPr>
      </w:pPr>
      <w:r>
        <w:rPr>
          <w:rFonts w:ascii="Arial" w:cs="Arial" w:eastAsia="Arial" w:hAnsi="Arial"/>
          <w:sz w:val="16"/>
          <w:szCs w:val="16"/>
          <w:color w:val="auto"/>
        </w:rPr>
        <w:t>3.250% senior notes due 2051 (the “</w:t>
      </w:r>
      <w:r>
        <w:rPr>
          <w:rFonts w:ascii="Arial" w:cs="Arial" w:eastAsia="Arial" w:hAnsi="Arial"/>
          <w:sz w:val="16"/>
          <w:szCs w:val="16"/>
          <w:b w:val="1"/>
          <w:bCs w:val="1"/>
          <w:color w:val="auto"/>
        </w:rPr>
        <w:t>New 2051 Notes</w:t>
      </w:r>
      <w:r>
        <w:rPr>
          <w:rFonts w:ascii="Arial" w:cs="Arial" w:eastAsia="Arial" w:hAnsi="Arial"/>
          <w:sz w:val="16"/>
          <w:szCs w:val="16"/>
          <w:color w:val="auto"/>
        </w:rPr>
        <w:t>”, together with the New 2025 Notes, the New 2026 Notes, the New 2027 Notes, the New 2029 Notes, the New 2030 Notes, the New 2031 Notes, the New 2032 Notes, the New 2041 Notes, and the New 2042 Notes, the “New Notes”).</w:t>
      </w:r>
    </w:p>
    <w:p>
      <w:pPr>
        <w:spacing w:after="0" w:line="134"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Each series of New Notes will be jointly and severally issued by NXP B.V. (the “</w:t>
      </w:r>
      <w:r>
        <w:rPr>
          <w:rFonts w:ascii="Arial" w:cs="Arial" w:eastAsia="Arial" w:hAnsi="Arial"/>
          <w:sz w:val="18"/>
          <w:szCs w:val="18"/>
          <w:b w:val="1"/>
          <w:bCs w:val="1"/>
          <w:color w:val="auto"/>
        </w:rPr>
        <w:t>Company</w:t>
      </w:r>
      <w:r>
        <w:rPr>
          <w:rFonts w:ascii="Arial" w:cs="Arial" w:eastAsia="Arial" w:hAnsi="Arial"/>
          <w:sz w:val="18"/>
          <w:szCs w:val="18"/>
          <w:color w:val="auto"/>
        </w:rPr>
        <w:t>”), NXP Funding LLC (“NXP Funding”), NXP USA, Inc. (“NXP USA” and together with the Company and NXP Funding, the “Issuers”).</w:t>
      </w:r>
    </w:p>
    <w:p>
      <w:pPr>
        <w:spacing w:after="0" w:line="16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this Description of the New Notes and the Note Guarantee, the Company refers only to NXP B.V., and any successor obligor to NXP B.V. on the New Notes, and not to any of its subsidiaries, including NXP Funding or NXP USA. NXP Funding is a Wholly Owned Subsidiary of the Company that has been organized as a limited liability company in Delaware as a special purpose finance subsidiary to facilitate the offering of debt securities of the Company. NXP Funding will not have any assets or revenues. Accordingly, you should not expect NXP Funding to participate in servicing the principal and interest obligations on the New Notes.</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Issuers will issue the New 2026 Notes and the New 2029 Notes under the indenture, dated as of June 18, 2019 (the “</w:t>
      </w:r>
      <w:r>
        <w:rPr>
          <w:rFonts w:ascii="Arial" w:cs="Arial" w:eastAsia="Arial" w:hAnsi="Arial"/>
          <w:sz w:val="16"/>
          <w:szCs w:val="16"/>
          <w:b w:val="1"/>
          <w:bCs w:val="1"/>
          <w:color w:val="auto"/>
        </w:rPr>
        <w:t>2026/2029 Indenture</w:t>
      </w:r>
      <w:r>
        <w:rPr>
          <w:rFonts w:ascii="Arial" w:cs="Arial" w:eastAsia="Arial" w:hAnsi="Arial"/>
          <w:sz w:val="16"/>
          <w:szCs w:val="16"/>
          <w:color w:val="auto"/>
        </w:rPr>
        <w:t>”) among the Issuers, the Parent, as guarantor, and Deutsche Bank Trust Company Americas, as Trustee. The Issuers will issue the New 2025 Notes, the New 2027 Notes and the New 2030 Notes under the indenture, dated as of May 1, 2020 (the “</w:t>
      </w:r>
      <w:r>
        <w:rPr>
          <w:rFonts w:ascii="Arial" w:cs="Arial" w:eastAsia="Arial" w:hAnsi="Arial"/>
          <w:sz w:val="16"/>
          <w:szCs w:val="16"/>
          <w:b w:val="1"/>
          <w:bCs w:val="1"/>
          <w:color w:val="auto"/>
        </w:rPr>
        <w:t>2025/2027/2030 Indenture</w:t>
      </w:r>
      <w:r>
        <w:rPr>
          <w:rFonts w:ascii="Arial" w:cs="Arial" w:eastAsia="Arial" w:hAnsi="Arial"/>
          <w:sz w:val="16"/>
          <w:szCs w:val="16"/>
          <w:color w:val="auto"/>
        </w:rPr>
        <w:t>”) among the Issuers, the Parent, as guarantor, and Deutsche Bank Trust Company Americas, as Trustee. The Issuers will issue the New 2031 Notes and the New 2041 Notes under the indenture, dated as of May 11, 2021 (the “</w:t>
      </w:r>
      <w:r>
        <w:rPr>
          <w:rFonts w:ascii="Arial" w:cs="Arial" w:eastAsia="Arial" w:hAnsi="Arial"/>
          <w:sz w:val="16"/>
          <w:szCs w:val="16"/>
          <w:b w:val="1"/>
          <w:bCs w:val="1"/>
          <w:color w:val="auto"/>
        </w:rPr>
        <w:t>2031/2041 Indenture</w:t>
      </w:r>
      <w:r>
        <w:rPr>
          <w:rFonts w:ascii="Arial" w:cs="Arial" w:eastAsia="Arial" w:hAnsi="Arial"/>
          <w:sz w:val="16"/>
          <w:szCs w:val="16"/>
          <w:color w:val="auto"/>
        </w:rPr>
        <w:t>”) among the Issuers, the Parent, as guarantor, and Deutsche Bank Trust Company Americas, as Trustee. The Issuers will issue the New 2032 Notes, the New 2042 Notes and the New 2051 Notes under the indenture, dated as of November 30, 2021 (the “</w:t>
      </w:r>
      <w:r>
        <w:rPr>
          <w:rFonts w:ascii="Arial" w:cs="Arial" w:eastAsia="Arial" w:hAnsi="Arial"/>
          <w:sz w:val="16"/>
          <w:szCs w:val="16"/>
          <w:b w:val="1"/>
          <w:bCs w:val="1"/>
          <w:color w:val="auto"/>
        </w:rPr>
        <w:t>2032/2041/2051 Indenture</w:t>
      </w:r>
      <w:r>
        <w:rPr>
          <w:rFonts w:ascii="Arial" w:cs="Arial" w:eastAsia="Arial" w:hAnsi="Arial"/>
          <w:sz w:val="16"/>
          <w:szCs w:val="16"/>
          <w:color w:val="auto"/>
        </w:rPr>
        <w:t>”, together with the 2026/2029 Indenture, the 2025/2027/2030 Indenture, and the 2032/2041/2051 Indenture, the “Indentures”) among the Issuers, the Parent, as guarantor, and Deutsche Bank Trust Company Americas, as Trustee.</w:t>
      </w:r>
    </w:p>
    <w:p>
      <w:pPr>
        <w:spacing w:after="0" w:line="163"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following is a summary of the material provisions of the Indentures. Because this is a summary, it may not contain all the information that is important to you. You should read the Indentures in their entirety. Copies of the Indentures are available at the Company’s address as described under “General Information—Legal Information.” You can find the definitions of certain terms used in this description under “—Certain Definitions.”</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terms of the New Notes will include those stated in the applicable Indenture and those made part of such Indenture by reference to the Trust Indenture Act of 1939, as amended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166"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References to the “</w:t>
      </w:r>
      <w:r>
        <w:rPr>
          <w:rFonts w:ascii="Arial" w:cs="Arial" w:eastAsia="Arial" w:hAnsi="Arial"/>
          <w:sz w:val="18"/>
          <w:szCs w:val="18"/>
          <w:b w:val="1"/>
          <w:bCs w:val="1"/>
          <w:color w:val="auto"/>
        </w:rPr>
        <w:t>Outstanding 2025 Notes</w:t>
      </w:r>
      <w:r>
        <w:rPr>
          <w:rFonts w:ascii="Arial" w:cs="Arial" w:eastAsia="Arial" w:hAnsi="Arial"/>
          <w:sz w:val="18"/>
          <w:szCs w:val="18"/>
          <w:color w:val="auto"/>
        </w:rPr>
        <w:t>,” the “</w:t>
      </w:r>
      <w:r>
        <w:rPr>
          <w:rFonts w:ascii="Arial" w:cs="Arial" w:eastAsia="Arial" w:hAnsi="Arial"/>
          <w:sz w:val="18"/>
          <w:szCs w:val="18"/>
          <w:b w:val="1"/>
          <w:bCs w:val="1"/>
          <w:color w:val="auto"/>
        </w:rPr>
        <w:t>Outstanding 2026 Notes</w:t>
      </w:r>
      <w:r>
        <w:rPr>
          <w:rFonts w:ascii="Arial" w:cs="Arial" w:eastAsia="Arial" w:hAnsi="Arial"/>
          <w:sz w:val="18"/>
          <w:szCs w:val="18"/>
          <w:color w:val="auto"/>
        </w:rPr>
        <w:t>,” the “</w:t>
      </w:r>
      <w:r>
        <w:rPr>
          <w:rFonts w:ascii="Arial" w:cs="Arial" w:eastAsia="Arial" w:hAnsi="Arial"/>
          <w:sz w:val="18"/>
          <w:szCs w:val="18"/>
          <w:b w:val="1"/>
          <w:bCs w:val="1"/>
          <w:color w:val="auto"/>
        </w:rPr>
        <w:t>Outstanding 2027 Notes</w:t>
      </w:r>
      <w:r>
        <w:rPr>
          <w:rFonts w:ascii="Arial" w:cs="Arial" w:eastAsia="Arial" w:hAnsi="Arial"/>
          <w:sz w:val="18"/>
          <w:szCs w:val="18"/>
          <w:color w:val="auto"/>
        </w:rPr>
        <w:t>,” the “</w:t>
      </w:r>
      <w:r>
        <w:rPr>
          <w:rFonts w:ascii="Arial" w:cs="Arial" w:eastAsia="Arial" w:hAnsi="Arial"/>
          <w:sz w:val="18"/>
          <w:szCs w:val="18"/>
          <w:b w:val="1"/>
          <w:bCs w:val="1"/>
          <w:color w:val="auto"/>
        </w:rPr>
        <w:t>Outstanding 2029 Notes</w:t>
      </w:r>
      <w:r>
        <w:rPr>
          <w:rFonts w:ascii="Arial" w:cs="Arial" w:eastAsia="Arial" w:hAnsi="Arial"/>
          <w:sz w:val="18"/>
          <w:szCs w:val="18"/>
          <w:color w:val="auto"/>
        </w:rPr>
        <w:t>,” the “</w:t>
      </w:r>
      <w:r>
        <w:rPr>
          <w:rFonts w:ascii="Arial" w:cs="Arial" w:eastAsia="Arial" w:hAnsi="Arial"/>
          <w:sz w:val="18"/>
          <w:szCs w:val="18"/>
          <w:b w:val="1"/>
          <w:bCs w:val="1"/>
          <w:color w:val="auto"/>
        </w:rPr>
        <w:t>Outstanding 2030 Notes</w:t>
      </w:r>
      <w:r>
        <w:rPr>
          <w:rFonts w:ascii="Arial" w:cs="Arial" w:eastAsia="Arial" w:hAnsi="Arial"/>
          <w:sz w:val="18"/>
          <w:szCs w:val="18"/>
          <w:color w:val="auto"/>
        </w:rPr>
        <w:t>,” the “</w:t>
      </w:r>
      <w:r>
        <w:rPr>
          <w:rFonts w:ascii="Arial" w:cs="Arial" w:eastAsia="Arial" w:hAnsi="Arial"/>
          <w:sz w:val="18"/>
          <w:szCs w:val="18"/>
          <w:b w:val="1"/>
          <w:bCs w:val="1"/>
          <w:color w:val="auto"/>
        </w:rPr>
        <w:t>Outstanding 2031 Notes</w:t>
      </w:r>
      <w:r>
        <w:rPr>
          <w:rFonts w:ascii="Arial" w:cs="Arial" w:eastAsia="Arial" w:hAnsi="Arial"/>
          <w:sz w:val="18"/>
          <w:szCs w:val="18"/>
          <w:color w:val="auto"/>
        </w:rPr>
        <w:t>,” the “</w:t>
      </w:r>
      <w:r>
        <w:rPr>
          <w:rFonts w:ascii="Arial" w:cs="Arial" w:eastAsia="Arial" w:hAnsi="Arial"/>
          <w:sz w:val="18"/>
          <w:szCs w:val="18"/>
          <w:b w:val="1"/>
          <w:bCs w:val="1"/>
          <w:color w:val="auto"/>
        </w:rPr>
        <w:t>Outstanding 2032 Notes</w:t>
      </w:r>
      <w:r>
        <w:rPr>
          <w:rFonts w:ascii="Arial" w:cs="Arial" w:eastAsia="Arial" w:hAnsi="Arial"/>
          <w:sz w:val="18"/>
          <w:szCs w:val="18"/>
          <w:color w:val="auto"/>
        </w:rPr>
        <w:t>,” the “</w:t>
      </w:r>
      <w:r>
        <w:rPr>
          <w:rFonts w:ascii="Arial" w:cs="Arial" w:eastAsia="Arial" w:hAnsi="Arial"/>
          <w:sz w:val="18"/>
          <w:szCs w:val="18"/>
          <w:b w:val="1"/>
          <w:bCs w:val="1"/>
          <w:color w:val="auto"/>
        </w:rPr>
        <w:t>Outstanding 2041 Notes</w:t>
      </w:r>
      <w:r>
        <w:rPr>
          <w:rFonts w:ascii="Arial" w:cs="Arial" w:eastAsia="Arial" w:hAnsi="Arial"/>
          <w:sz w:val="18"/>
          <w:szCs w:val="18"/>
          <w:color w:val="auto"/>
        </w:rPr>
        <w:t>,” the “</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t>
      </w:r>
      <w:r>
        <w:rPr>
          <w:rFonts w:ascii="Arial" w:cs="Arial" w:eastAsia="Arial" w:hAnsi="Arial"/>
          <w:sz w:val="18"/>
          <w:szCs w:val="18"/>
          <w:b w:val="1"/>
          <w:bCs w:val="1"/>
          <w:color w:val="auto"/>
        </w:rPr>
        <w:t>2042 Notes</w:t>
      </w:r>
      <w:r>
        <w:rPr>
          <w:rFonts w:ascii="Arial" w:cs="Arial" w:eastAsia="Arial" w:hAnsi="Arial"/>
          <w:sz w:val="18"/>
          <w:szCs w:val="18"/>
          <w:color w:val="auto"/>
        </w:rPr>
        <w:t>,” or the “</w:t>
      </w:r>
      <w:r>
        <w:rPr>
          <w:rFonts w:ascii="Arial" w:cs="Arial" w:eastAsia="Arial" w:hAnsi="Arial"/>
          <w:sz w:val="18"/>
          <w:szCs w:val="18"/>
          <w:b w:val="1"/>
          <w:bCs w:val="1"/>
          <w:color w:val="auto"/>
        </w:rPr>
        <w:t>Outstanding 2051 Notes</w:t>
      </w:r>
      <w:r>
        <w:rPr>
          <w:rFonts w:ascii="Arial" w:cs="Arial" w:eastAsia="Arial" w:hAnsi="Arial"/>
          <w:sz w:val="18"/>
          <w:szCs w:val="18"/>
          <w:color w:val="auto"/>
        </w:rPr>
        <w:t>,” refer to the notes in exchange for which the New Notes are being offered and collectively are 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to as the “</w:t>
      </w:r>
      <w:r>
        <w:rPr>
          <w:rFonts w:ascii="Arial" w:cs="Arial" w:eastAsia="Arial" w:hAnsi="Arial"/>
          <w:sz w:val="18"/>
          <w:szCs w:val="18"/>
          <w:b w:val="1"/>
          <w:bCs w:val="1"/>
          <w:color w:val="auto"/>
        </w:rPr>
        <w:t>Outstanding Notes</w:t>
      </w:r>
      <w:r>
        <w:rPr>
          <w:rFonts w:ascii="Arial" w:cs="Arial" w:eastAsia="Arial" w:hAnsi="Arial"/>
          <w:sz w:val="18"/>
          <w:szCs w:val="18"/>
          <w:color w:val="auto"/>
        </w:rPr>
        <w:t>.” References to the “</w:t>
      </w:r>
      <w:r>
        <w:rPr>
          <w:rFonts w:ascii="Arial" w:cs="Arial" w:eastAsia="Arial" w:hAnsi="Arial"/>
          <w:sz w:val="18"/>
          <w:szCs w:val="18"/>
          <w:b w:val="1"/>
          <w:bCs w:val="1"/>
          <w:color w:val="auto"/>
        </w:rPr>
        <w:t>2025 Notes</w:t>
      </w:r>
      <w:r>
        <w:rPr>
          <w:rFonts w:ascii="Arial" w:cs="Arial" w:eastAsia="Arial" w:hAnsi="Arial"/>
          <w:sz w:val="18"/>
          <w:szCs w:val="18"/>
          <w:color w:val="auto"/>
        </w:rPr>
        <w:t>” refer to the Outstanding 2025 Notes and the New 2025 Notes, collectively. References to the “</w:t>
      </w:r>
      <w:r>
        <w:rPr>
          <w:rFonts w:ascii="Arial" w:cs="Arial" w:eastAsia="Arial" w:hAnsi="Arial"/>
          <w:sz w:val="18"/>
          <w:szCs w:val="18"/>
          <w:b w:val="1"/>
          <w:bCs w:val="1"/>
          <w:color w:val="auto"/>
        </w:rPr>
        <w:t>2026 Notes</w:t>
      </w:r>
      <w:r>
        <w:rPr>
          <w:rFonts w:ascii="Arial" w:cs="Arial" w:eastAsia="Arial" w:hAnsi="Arial"/>
          <w:sz w:val="18"/>
          <w:szCs w:val="18"/>
          <w:color w:val="auto"/>
        </w:rPr>
        <w:t>” refer to the Outstanding 2026 Notes and the New 2026 Notes, collectively. References to the “</w:t>
      </w:r>
      <w:r>
        <w:rPr>
          <w:rFonts w:ascii="Arial" w:cs="Arial" w:eastAsia="Arial" w:hAnsi="Arial"/>
          <w:sz w:val="18"/>
          <w:szCs w:val="18"/>
          <w:b w:val="1"/>
          <w:bCs w:val="1"/>
          <w:color w:val="auto"/>
        </w:rPr>
        <w:t>2027 Notes</w:t>
      </w:r>
      <w:r>
        <w:rPr>
          <w:rFonts w:ascii="Arial" w:cs="Arial" w:eastAsia="Arial" w:hAnsi="Arial"/>
          <w:sz w:val="18"/>
          <w:szCs w:val="18"/>
          <w:color w:val="auto"/>
        </w:rPr>
        <w:t>” refer to the Outstanding 2027 Notes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and the New 2027 Notes, collectively. References to the “</w:t>
      </w:r>
      <w:r>
        <w:rPr>
          <w:rFonts w:ascii="Arial" w:cs="Arial" w:eastAsia="Arial" w:hAnsi="Arial"/>
          <w:sz w:val="17"/>
          <w:szCs w:val="17"/>
          <w:b w:val="1"/>
          <w:bCs w:val="1"/>
          <w:color w:val="auto"/>
        </w:rPr>
        <w:t>2029 Notes</w:t>
      </w:r>
      <w:r>
        <w:rPr>
          <w:rFonts w:ascii="Arial" w:cs="Arial" w:eastAsia="Arial" w:hAnsi="Arial"/>
          <w:sz w:val="17"/>
          <w:szCs w:val="17"/>
          <w:color w:val="auto"/>
        </w:rPr>
        <w:t>” refer to the Outstanding 2029 Notes and the New 2029 Notes, collectively. References to the “</w:t>
      </w:r>
      <w:r>
        <w:rPr>
          <w:rFonts w:ascii="Arial" w:cs="Arial" w:eastAsia="Arial" w:hAnsi="Arial"/>
          <w:sz w:val="17"/>
          <w:szCs w:val="17"/>
          <w:b w:val="1"/>
          <w:bCs w:val="1"/>
          <w:color w:val="auto"/>
        </w:rPr>
        <w:t>2030 Notes</w:t>
      </w:r>
      <w:r>
        <w:rPr>
          <w:rFonts w:ascii="Arial" w:cs="Arial" w:eastAsia="Arial" w:hAnsi="Arial"/>
          <w:sz w:val="17"/>
          <w:szCs w:val="17"/>
          <w:color w:val="auto"/>
        </w:rPr>
        <w:t>” refer to the Outstanding 2030 Notes and the New 2030 Notes, collectively. References to the “</w:t>
      </w:r>
      <w:r>
        <w:rPr>
          <w:rFonts w:ascii="Arial" w:cs="Arial" w:eastAsia="Arial" w:hAnsi="Arial"/>
          <w:sz w:val="17"/>
          <w:szCs w:val="17"/>
          <w:b w:val="1"/>
          <w:bCs w:val="1"/>
          <w:color w:val="auto"/>
        </w:rPr>
        <w:t>2031 Notes</w:t>
      </w:r>
      <w:r>
        <w:rPr>
          <w:rFonts w:ascii="Arial" w:cs="Arial" w:eastAsia="Arial" w:hAnsi="Arial"/>
          <w:sz w:val="17"/>
          <w:szCs w:val="17"/>
          <w:color w:val="auto"/>
        </w:rPr>
        <w:t>” refer to the Outstanding 2031 Notes and the New 2031 Notes, collectively. References to the “</w:t>
      </w:r>
      <w:r>
        <w:rPr>
          <w:rFonts w:ascii="Arial" w:cs="Arial" w:eastAsia="Arial" w:hAnsi="Arial"/>
          <w:sz w:val="17"/>
          <w:szCs w:val="17"/>
          <w:b w:val="1"/>
          <w:bCs w:val="1"/>
          <w:color w:val="auto"/>
        </w:rPr>
        <w:t>2032 Notes</w:t>
      </w:r>
      <w:r>
        <w:rPr>
          <w:rFonts w:ascii="Arial" w:cs="Arial" w:eastAsia="Arial" w:hAnsi="Arial"/>
          <w:sz w:val="17"/>
          <w:szCs w:val="17"/>
          <w:color w:val="auto"/>
        </w:rPr>
        <w:t>” refer to the Outstanding 2032 Notes and the New 2032 Notes, collectively. References to the “</w:t>
      </w:r>
      <w:r>
        <w:rPr>
          <w:rFonts w:ascii="Arial" w:cs="Arial" w:eastAsia="Arial" w:hAnsi="Arial"/>
          <w:sz w:val="17"/>
          <w:szCs w:val="17"/>
          <w:b w:val="1"/>
          <w:bCs w:val="1"/>
          <w:color w:val="auto"/>
        </w:rPr>
        <w:t>2041 Notes</w:t>
      </w:r>
      <w:r>
        <w:rPr>
          <w:rFonts w:ascii="Arial" w:cs="Arial" w:eastAsia="Arial" w:hAnsi="Arial"/>
          <w:sz w:val="17"/>
          <w:szCs w:val="17"/>
          <w:color w:val="auto"/>
        </w:rPr>
        <w:t>” refer to the Outstanding 2041 Notes and the New 2041 Notes, collectively. References to the “</w:t>
      </w:r>
      <w:r>
        <w:rPr>
          <w:rFonts w:ascii="Arial" w:cs="Arial" w:eastAsia="Arial" w:hAnsi="Arial"/>
          <w:sz w:val="17"/>
          <w:szCs w:val="17"/>
          <w:b w:val="1"/>
          <w:bCs w:val="1"/>
          <w:color w:val="auto"/>
        </w:rPr>
        <w:t>2042</w:t>
      </w:r>
      <w:r>
        <w:rPr>
          <w:rFonts w:ascii="Arial" w:cs="Arial" w:eastAsia="Arial" w:hAnsi="Arial"/>
          <w:sz w:val="17"/>
          <w:szCs w:val="17"/>
          <w:color w:val="auto"/>
        </w:rPr>
        <w:t xml:space="preserve"> </w:t>
      </w:r>
      <w:r>
        <w:rPr>
          <w:rFonts w:ascii="Arial" w:cs="Arial" w:eastAsia="Arial" w:hAnsi="Arial"/>
          <w:sz w:val="17"/>
          <w:szCs w:val="17"/>
          <w:b w:val="1"/>
          <w:bCs w:val="1"/>
          <w:color w:val="auto"/>
        </w:rPr>
        <w:t>Notes</w:t>
      </w:r>
      <w:r>
        <w:rPr>
          <w:rFonts w:ascii="Arial" w:cs="Arial" w:eastAsia="Arial" w:hAnsi="Arial"/>
          <w:sz w:val="17"/>
          <w:szCs w:val="17"/>
          <w:color w:val="auto"/>
        </w:rPr>
        <w:t>” refer to the Outstanding 2042 Notes and the New 2042 Notes, collectively. References to the “</w:t>
      </w:r>
      <w:r>
        <w:rPr>
          <w:rFonts w:ascii="Arial" w:cs="Arial" w:eastAsia="Arial" w:hAnsi="Arial"/>
          <w:sz w:val="17"/>
          <w:szCs w:val="17"/>
          <w:b w:val="1"/>
          <w:bCs w:val="1"/>
          <w:color w:val="auto"/>
        </w:rPr>
        <w:t>2051 Notes</w:t>
      </w:r>
      <w:r>
        <w:rPr>
          <w:rFonts w:ascii="Arial" w:cs="Arial" w:eastAsia="Arial" w:hAnsi="Arial"/>
          <w:sz w:val="17"/>
          <w:szCs w:val="17"/>
          <w:color w:val="auto"/>
        </w:rPr>
        <w:t>” refer to the Outstanding 2051 Notes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New 2051 Notes, collectively. Any Outstanding Notes of a series that remain outstanding after the completion of the Exchange Offers, together with the New Notes of such series issued in the Exchange Offers, will be treated as a single class of securities under the applicable Indenture and are referred to in this section as a “series” of notes.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Brief Description of the New Notes and the Note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New Notes:</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senior unsecured obligations of the Issuers;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senior in right of payment to any future Subordinated Indebtedness of the Issuers;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effectively junior to any future secured obligations of the Issuers,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are structurally subordinated to the liabilities of the Issuers’ respective Subsidiaries which do not guarantee the New Notes;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are unconditionally guaranteed on a senior unsecured basis by the Guarantor.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New Notes will be issued in minimum denominations of $2,000 and in integral multiples of $1,000 in excess thereof. The rights of holders of beneficial interests in the New Notes (the “</w:t>
      </w:r>
      <w:r>
        <w:rPr>
          <w:rFonts w:ascii="Arial" w:cs="Arial" w:eastAsia="Arial" w:hAnsi="Arial"/>
          <w:sz w:val="18"/>
          <w:szCs w:val="18"/>
          <w:b w:val="1"/>
          <w:bCs w:val="1"/>
          <w:color w:val="auto"/>
        </w:rPr>
        <w:t>Holders</w:t>
      </w:r>
      <w:r>
        <w:rPr>
          <w:rFonts w:ascii="Arial" w:cs="Arial" w:eastAsia="Arial" w:hAnsi="Arial"/>
          <w:sz w:val="18"/>
          <w:szCs w:val="18"/>
          <w:color w:val="auto"/>
        </w:rPr>
        <w:t>”) to receive the payments on such New Notes are subject to applicable procedures of DTC. If the due date for any payment in respect of any New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8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New 2025 Notes will be issued in an aggregate principal amount of up to $500 million. The New 2026 Notes will be issued in an aggregate principal amount of up to $750 million. The New 2027 Notes will be issued in an aggregate principal amount of up to $500 million. The New 2029 Notes will be issued in an aggregate principal amount of up to $1,000 million. The New 2030 Notes will be issued in an aggregate principal amount of up to $1,000 million. The New 2031 Notes will be issued in an aggregate principal amount of up to $1,000 million. The New 2032 Notes will be issued in an aggregate principal amount of up to $1,000 million. The New 2041 Notes will be issued in an aggregate principal amount of up to $1,000 million. The New 2042 Notes will be issued in an aggregate principal amount of up to $500 million. The New 2051 Notes will be issued in an aggregate principal amount of up to $500 million. The New 2025 Notes will mature on May 1, 2025. The New 2026 Notes will mature on June 18, 2026. The New 2027 Notes will mature on May 1, 2027. The New 2029 Notes will mature on June 18, 2029. The New 2030 Notes will mature on May 1, 2030. The New 2031 Notes will mature on May 11, 2031. The New 2032 Notes will mature on February 15, 2032. The New 2041 Notes will mature on May 11, 2041. The New 2042 Notes will mature on February 15, 2042. The New 2051 Notes will mature on November 30, 2051.</w:t>
      </w:r>
    </w:p>
    <w:p>
      <w:pPr>
        <w:spacing w:after="0" w:line="16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Interest on the New 2032 Notes and the New 2042 Notes will accrue at the rate per annum set forth on the cover of this prospectus and will be payable, in cash, semi-annually in arrears on February 15 and August 15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each year, beginning on August 15, 2022. Interest on the New 2051 Notes will accrue at the rate per annum set forth on the cover of this prospectus and will be payable, in cash, semi-annually in arrears on May 30 and November 30 of each year, beginning on May 30, 2022. Interest on the New 2026 Notes and the New 2029 Notes will accrue at the rate per annum set forth on the cover of this prospectus and will be payable, in cash, semi-annually in arrears on June 18 and December 18 of each year, beginning on June 18, 2022. Interest on the New 2025 Notes, the New 2027 Notes and the New 2030 Notes will accrue at the rate per annum set forth on the cover of this prospectus and will be payable, in cash, semi-annually in arrears on May 1 and November 1 of each year, beginning on November 1, 2022. Interest on the New 2031 notes and the New 2041 Notes will be payable semi-annually on May 11 and November 11 of each year, beginning on November 11, 2022. Interest on the New Notes will accrue from the most recent date to which interest has been paid on the corresponding series of Outstanding Notes. Interest will be computed on the basis of a 360-day year comprised of twelve 30-day months. Each interest period shall end on (but not include) the relevant interest payment date.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Issuers may, without the consent of the Holders, increase the principal amount of Notes by issuing additional Notes of any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Notes</w:t>
      </w:r>
      <w:r>
        <w:rPr>
          <w:rFonts w:ascii="Arial" w:cs="Arial" w:eastAsia="Arial" w:hAnsi="Arial"/>
          <w:sz w:val="17"/>
          <w:szCs w:val="17"/>
          <w:color w:val="auto"/>
        </w:rPr>
        <w:t>”) in the future on the same terms and conditions as the Outstanding Notes and the New Notes of such series, except for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differences in the issue price, the interest (whether accrued prior to the issue date of the Additional Notes or otherwise) or the maturity. The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will have the same CUSIP number as the Outstanding Notes or the New Notes of such series depending on whether the issuance thereof has been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registered under the Securities Act, provided that any Additional Notes that are not fungible with the Outstanding Notes and the New Notes of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series for U.S. federal income tax purposes will be issued under a separate CUSIP number.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Receiving Payments on the New Notes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Principal, premium, if any, interest and Additional Amounts (as defined below), if any, on the Notes of each series in registered, global form without interest coupons (collectively, the “</w:t>
      </w:r>
      <w:r>
        <w:rPr>
          <w:rFonts w:ascii="Arial" w:cs="Arial" w:eastAsia="Arial" w:hAnsi="Arial"/>
          <w:sz w:val="17"/>
          <w:szCs w:val="17"/>
          <w:b w:val="1"/>
          <w:bCs w:val="1"/>
          <w:color w:val="auto"/>
        </w:rPr>
        <w:t>Global Notes</w:t>
      </w:r>
      <w:r>
        <w:rPr>
          <w:rFonts w:ascii="Arial" w:cs="Arial" w:eastAsia="Arial" w:hAnsi="Arial"/>
          <w:sz w:val="17"/>
          <w:szCs w:val="17"/>
          <w:color w:val="auto"/>
        </w:rPr>
        <w:t>”) will be payable at the specified office or agency of one or more Paying Agents (as defined herein), provided that all such payments with respect to Notes represented by one or more Global Notes registered in the name of or held by a nominee of DTC will be made by wire transfer of immediately available funds to the account specified by the Holder or Holders thereof.</w:t>
      </w:r>
    </w:p>
    <w:p>
      <w:pPr>
        <w:spacing w:after="0" w:line="167"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Principal, premium, if any, interest and Additional Amounts, if any, on any certificated securities (“</w:t>
      </w:r>
      <w:r>
        <w:rPr>
          <w:rFonts w:ascii="Arial" w:cs="Arial" w:eastAsia="Arial" w:hAnsi="Arial"/>
          <w:sz w:val="18"/>
          <w:szCs w:val="18"/>
          <w:b w:val="1"/>
          <w:bCs w:val="1"/>
          <w:color w:val="auto"/>
        </w:rPr>
        <w:t>Definitive Registered Notes</w:t>
      </w:r>
      <w:r>
        <w:rPr>
          <w:rFonts w:ascii="Arial" w:cs="Arial" w:eastAsia="Arial" w:hAnsi="Arial"/>
          <w:sz w:val="18"/>
          <w:szCs w:val="18"/>
          <w:color w:val="auto"/>
        </w:rPr>
        <w:t xml:space="preserve">”)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w:t>
      </w:r>
      <w:r>
        <w:rPr>
          <w:rFonts w:ascii="Arial" w:cs="Arial" w:eastAsia="Arial" w:hAnsi="Arial"/>
          <w:sz w:val="18"/>
          <w:szCs w:val="18"/>
          <w:i w:val="1"/>
          <w:iCs w:val="1"/>
          <w:color w:val="auto"/>
        </w:rPr>
        <w:t>“—</w:t>
      </w:r>
      <w:r>
        <w:rPr>
          <w:rFonts w:ascii="Arial" w:cs="Arial" w:eastAsia="Arial" w:hAnsi="Arial"/>
          <w:sz w:val="18"/>
          <w:szCs w:val="18"/>
          <w:color w:val="auto"/>
        </w:rPr>
        <w:t>Paying Agent and Registrar for the New Notes.</w:t>
      </w:r>
      <w:r>
        <w:rPr>
          <w:rFonts w:ascii="Arial" w:cs="Arial" w:eastAsia="Arial" w:hAnsi="Arial"/>
          <w:sz w:val="18"/>
          <w:szCs w:val="18"/>
          <w:i w:val="1"/>
          <w:i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New Notes</w:t>
      </w:r>
    </w:p>
    <w:p>
      <w:pPr>
        <w:spacing w:after="0" w:line="117"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The Issuers maintain a paying agent (the “</w:t>
      </w:r>
      <w:r>
        <w:rPr>
          <w:rFonts w:ascii="Arial" w:cs="Arial" w:eastAsia="Arial" w:hAnsi="Arial"/>
          <w:sz w:val="18"/>
          <w:szCs w:val="18"/>
          <w:b w:val="1"/>
          <w:bCs w:val="1"/>
          <w:color w:val="auto"/>
        </w:rPr>
        <w:t>Paying Agent</w:t>
      </w:r>
      <w:r>
        <w:rPr>
          <w:rFonts w:ascii="Arial" w:cs="Arial" w:eastAsia="Arial" w:hAnsi="Arial"/>
          <w:sz w:val="18"/>
          <w:szCs w:val="18"/>
          <w:color w:val="auto"/>
        </w:rPr>
        <w:t>”) for the Notes in the Borough of Manhattan, City of New York. The Paying Agent for the New Notes will be Deutsche Bank Trust Company Americas.</w:t>
      </w:r>
    </w:p>
    <w:p>
      <w:pPr>
        <w:spacing w:after="0" w:line="162"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color w:val="auto"/>
        </w:rPr>
        <w:t>The Issuers also maintain a registrar (the “</w:t>
      </w:r>
      <w:r>
        <w:rPr>
          <w:rFonts w:ascii="Arial" w:cs="Arial" w:eastAsia="Arial" w:hAnsi="Arial"/>
          <w:sz w:val="16"/>
          <w:szCs w:val="16"/>
          <w:b w:val="1"/>
          <w:bCs w:val="1"/>
          <w:color w:val="auto"/>
        </w:rPr>
        <w:t>Registrar</w:t>
      </w:r>
      <w:r>
        <w:rPr>
          <w:rFonts w:ascii="Arial" w:cs="Arial" w:eastAsia="Arial" w:hAnsi="Arial"/>
          <w:sz w:val="16"/>
          <w:szCs w:val="16"/>
          <w:color w:val="auto"/>
        </w:rPr>
        <w:t>”) and a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in the Borough of Manhattan, City of New York. The Registrar and the Transfer Agent maintain a register reflecting the ownership of the Definitive Registered Notes outstanding from time to time, if any, and will make payments on and facilitate transfers of Definitive Registered Notes on behalf of the Issuers. The Transfer Agent shall perform the functions of a transfer agent. The Registrar and the Transfer Agent for the New Notes will be Deutsche Bank Trust Company Americas.</w:t>
      </w:r>
    </w:p>
    <w:p>
      <w:pPr>
        <w:spacing w:after="0" w:line="15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Issuers may change any Paying Agent, Registrar or Transfer Agent for any series of Notes without prior notice to the Holders. The Issuers or any of its Subsidiaries may act as Paying Agent or Registrar in respect of any series of Notes.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 holder may transfer or exchange the Notes of any series in accordance with the provisions of the applicable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Guarantee</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the Issuers pursuant to the New Notes, including any payment obligation resulting from a Change of Control Triggering Event, will be guaranteed (the “</w:t>
      </w:r>
      <w:r>
        <w:rPr>
          <w:rFonts w:ascii="Arial" w:cs="Arial" w:eastAsia="Arial" w:hAnsi="Arial"/>
          <w:sz w:val="18"/>
          <w:szCs w:val="18"/>
          <w:b w:val="1"/>
          <w:bCs w:val="1"/>
          <w:color w:val="auto"/>
        </w:rPr>
        <w:t>Note Guarantee</w:t>
      </w:r>
      <w:r>
        <w:rPr>
          <w:rFonts w:ascii="Arial" w:cs="Arial" w:eastAsia="Arial" w:hAnsi="Arial"/>
          <w:sz w:val="18"/>
          <w:szCs w:val="18"/>
          <w:color w:val="auto"/>
        </w:rPr>
        <w:t>”) on a senior unsecured basis by the Parent.</w:t>
      </w:r>
    </w:p>
    <w:p>
      <w:pPr>
        <w:spacing w:after="0" w:line="170"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Substantially all the operations of the Company are conducted through its Subsidiaries and joint ventures. Except for NXP USA, Inc., such Subsidiaries of the Company and joint ventures have not guaranteed the New Notes. Claims of creditors of Subsidiaries, including trade creditors, secured creditors and creditors holding debt and guarantees issued by Subsidiaries, and claims of preferred and minority stockholders (if any) of Subsidiaries and claims against joint ventures generally will have priority with respect to the assets and earnings of Subsidiaries and joint ventures over the claims of creditors of the Company, including Holders. The New Notes and the Note Guarantee therefore will be structurally or effectively subordinated to creditors (including trade creditors) and preferred and minority stockholders (if any) of Subsidiaries of the Company and joint ventures.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Except as set forth in the two next paragraphs and under the provision described under “—Redemption for Taxation Reasons,” the Notes are not redeemable at the option of the Issuers.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2025 Notes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At any time prior to April 1, 2025 (the date one month prior to the maturity date of the 2025 Notes), the Issuers may redeem the 2025 Notes in whole or in part, at their option, upon not less than 15 nor more than 60 days’ prior notice, at a redemption price equal to the greater of:</w:t>
      </w:r>
    </w:p>
    <w:p>
      <w:pPr>
        <w:spacing w:after="0" w:line="2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of the principal amount of the 2025 Notes being redeemed, and</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2025 Notes being redeemed that would be due if the 2025 Notes matured on April 1, 2025 (the date one month prior to the maturity date of the 2025 Notes), not including unpaid interest accrued to, but excluding, the redemption date, discounted to the redemption date on a semi-annual basis (assuming a 360-day year consisting of twelve 30-day months) at the Treasury Rate plus 37.5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2025 Notes being redeemed accrued to, but excluding, the redemption date.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or after April 1, 2025 (the date one month prior to the maturity date of the 2025 Notes), the 2025 Notes will be redeemable, in whole or in part, at any time and from time to time, at the Issuers’ option, upon not less than 15 nor more than 60 days’ prior notice, at a redemption price equal to 100% of the principal amount of the 2025 Notes being redeemed plus unpaid interest on the 2025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redemption and notice of redemption may, at the Issuers’ discretion, be subject to the satisfaction of one or more conditions precedent.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2026 Notes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At any time prior to April 18, 2026 (the date two months prior to the maturity date of the 2026 Notes), the Issuers may redeem the 2026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2026 Notes being redeemed, and</w:t>
      </w:r>
    </w:p>
    <w:p>
      <w:pPr>
        <w:spacing w:after="0" w:line="130" w:lineRule="exact"/>
        <w:rPr>
          <w:rFonts w:ascii="Arial" w:cs="Arial" w:eastAsia="Arial" w:hAnsi="Arial"/>
          <w:sz w:val="18"/>
          <w:szCs w:val="18"/>
          <w:color w:val="auto"/>
        </w:rPr>
      </w:pPr>
    </w:p>
    <w:p>
      <w:pPr>
        <w:ind w:left="1080" w:right="20" w:hanging="424"/>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2026 Notes being redeemed that would be due if the 2026 Notes matured on April 18, 2026 (the date two months prior to the maturity date of the 2026 Notes), not including unpaid interest accrued to, but excluding, the redemption date, discounted to the redemption date on a semi-annual basis (assuming a 360-day year consisting of twelve 30-day months) at the Treasury Rate plus 30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2026 Notes being redeemed accrued to, but excluding, the redemption date.</w:t>
      </w:r>
    </w:p>
    <w:p>
      <w:pPr>
        <w:spacing w:after="0" w:line="225"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On or after April 18, 2026 (the date two months prior to the maturity date of the 2026 Notes), the 2026 Notes will be redeemable, in whole or in part, at any time and from time to time, at the Company’s option, upon not less than 15 nor more than 60 days’ prior notice, at a redemption price equal to 100% of the principal amount of the 2026 Notes being redeemed plus unpaid interest on the 20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redemption and notice of redemption may, at the Company’s discretion, be subject to the satisfaction of one or more conditions precedent.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2027 Notes</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At any time prior to March 1, 2027 (the date two months prior to the maturity date of the 2027 Notes), the Issuers may redeem the 2027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 of the principal amount of the 2027 Notes being redeemed, and</w:t>
      </w:r>
    </w:p>
    <w:p>
      <w:pPr>
        <w:spacing w:after="0" w:line="130" w:lineRule="exact"/>
        <w:rPr>
          <w:rFonts w:ascii="Arial" w:cs="Arial" w:eastAsia="Arial" w:hAnsi="Arial"/>
          <w:sz w:val="18"/>
          <w:szCs w:val="18"/>
          <w:color w:val="auto"/>
        </w:rPr>
      </w:pPr>
    </w:p>
    <w:p>
      <w:pPr>
        <w:ind w:left="1080" w:right="20" w:hanging="424"/>
        <w:spacing w:after="0" w:line="287"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on the 2027 Notes being redeemed that would be due if the 2027 Notes matured on March 1, 2027 (the date two months prior to the maturity date of the 2027 Notes), not including unpaid interest accrued to, but excluding, the redemption date, discounted to the redemption date on a semi-annual basis (assuming a</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360-day year consisting of twelve 30-day months) at the Treasury Rate plus 40 basis points, plus, in each case, unpaid interest on the 2027 Notes being redeemed accrued to, but excluding, the redemption date.</w:t>
      </w:r>
    </w:p>
    <w:p>
      <w:pPr>
        <w:spacing w:after="0" w:line="185"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On or after March 1, 2027 (the date two months prior to the maturity date of the 2027 Notes), the 2027 Notes will be redeemable, in whole or in part, at any time and from time to time, at the Issuers’ option, upon not less than 15 nor more than 60 days’ prior notice, at a redemption price equal to 100% of the principal amount of the 2027 Notes being redeemed plus unpaid interest on the 2027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2029 Notes</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At any time prior to March 18, 2029 (the date three months prior to the maturity date of the 2029 Notes), the Issuers may redeem the 2029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of the principal amount of the 2029 Notes being redeemed,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2029 Notes being redeemed that would be due if the 2029 Notes matured on March 18, 2029 (the date three months prior to the maturity date of the 2029 Notes), not including unpaid interest accrued to, but excluding, the redemption date, discounted to the redemption date on a semi-annual basis (assuming a 360-day year consisting of twelve 30-day months) at the Treasury Rate plus 35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2029 Notes being redeemed accrued to, but excluding, the redemption date.</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or after March 18, 2029 (the date three months prior to the maturity date of the 2029 Notes), the 2029 Notes will be redeemable, in whole or in part, at any time and from time to time, at the Company’s option, upon not less than 15 nor more than 60 days’ prior notice, at a redemption price equal to 100% of the principal amount of the 2029 Notes being redeemed plus unpaid interest on the 2029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redemption and notice of redemption may, at the Company’s discretion, be subject to the satisfaction of one or more conditions precedent.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2030 Notes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At any time prior to February 1, 2030 (the date three months prior to the maturity date of the 2030 Notes), the Issuers may redeem the 2030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of the principal amount of the 2030 Notes being redeemed,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2030 Notes being redeemed that would be due if the 2030 Notes matured on February 1, 2030 (the date three months prior to the maturity date of the 2030 Notes), not including unpaid interest accrued to, but excluding, the redemption date, discounted to the redemption date on a semi-annual basis (assuming a 360-day year consisting of twelve 30-day months) at the Treasury Rate plus 45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2030 Notes being redeemed accrued to, but excluding, the redemption date.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or after February 1, 2030 (the date three months prior to the maturity date of the 2030 Notes), the 2030 Notes will be redeemable, in whole or in part, at any time and from time to time, at the Issuers’ option, upon not less than 15 nor more than 60 days’ prior notice, at a redemption price equal to 100% of the principal amount of the 2030 Notes being redeemed plus unpaid interest on the 2030 Notes being redeemed accrued to, but excluding, the redemption date.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 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2031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any time prior to February 11, 2031 (the date three months prior to the maturity date of the 2031 Notes), the Issuers may redeem the 2031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in whole or in part, at their option, upon not less than 15 nor more than 60 days’ prior notice, at a redemption price equal to the greater of:</w:t>
      </w:r>
    </w:p>
    <w:p>
      <w:pPr>
        <w:spacing w:after="0" w:line="128"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of the principal amount of the 2031 Notes being redeemed, and</w:t>
      </w:r>
    </w:p>
    <w:p>
      <w:pPr>
        <w:spacing w:after="0" w:line="130"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 Notes being redeemed that would be due if the 2031 Notes matured on February 11, 2031 (the date three months prior to the maturity date of the 2031 Notes), not including unpaid interest accrued to, but excluding, the redemption date, discounted to the redemption date on a semi-annual basis (assuming a 360-day year consisting of twelve 30-day months) at the Treasury Rate plus 15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2031 Notes being redeemed accrued to, but excluding, the redemption date.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or after February 11, 2031 (the date three months prior to the maturity date of the 2031 Notes), the 2031 Notes will be redeemable, in whole or in part, at any time and from time to time, at the Issuers’ option, upon not less than 15 nor more than 60 days’ prior notice, at a redemption price equal to 100% of the principal amount of the 2031 Notes being redeemed plus unpaid interest on the 2031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2032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any time prior to November 15, 2031 (the date three months prior to the maturity date of the 2032 Notes), the Issuers may redeem the 2032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in whole or in part, at their option, upon not less than 15 nor more than 60 days’ prior notice, at a redemption price equal to the greater of:</w:t>
      </w:r>
    </w:p>
    <w:p>
      <w:pPr>
        <w:spacing w:after="0" w:line="128"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the principal amount of the 2032 Notes being redeemed,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2032 Notes being redeemed that would be due if the 2032 Notes matured on November 15, 2031 (the date three months prior to the maturity date of the 2032 Notes), not including unpaid interest accrued to, but excluding, the redemption date, discounted to the redemption date on a semi-annual basis (assuming a 360-day year consisting of twelve 30-day months) at the Treasury Rate plus 20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2032 Notes being redeemed accrued to, but excluding, the redemption date.</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or after November 15, 2031 (the date three months prior to the maturity date of the 2032 Notes), the 2032 Notes will be redeemable, in whole or in part, at any time and from time to time, at the Issuers’ option, upon not less than 15 nor more than 60 days’ prior notice, at a redemption price equal to 100% of the principal amount of the 2032 Notes being redeemed plus unpaid interest on the 2032 Notes being redeemed accrued to, but excluding, the redemption date.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 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2041 Notes</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At any time prior to November 11, 2040 (the date six months prior to the maturity date of the 2041 Notes), the Issuers may redeem the 2041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right="140" w:hanging="424"/>
        <w:spacing w:after="0" w:line="25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the principal amount of the 2041 Notes being redeemed, and the sum of the present values of the remaining scheduled payments of principal and interest on the 2041 Notes being redeemed that would be due if the 2041 Notes matured on November 11, 2040 (the date six months prior to the maturity date of the 2041 Notes), not including unpaid interest accrued to, but excluding, the redemption date, discounted to the redemption date on a semi-annual basis (assuming a 360-day year consisting of twelve 30-day months) at the Treasury Rate plus 20 basis points,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2041 Notes being redeemed accrued to, but excluding, the redemption date.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or after November 11, 2040 (the date six months prior to the maturity date of the 2041 Notes), the 2041 Notes will be redeemable, in whole or in part, at any time and from time to time, at the Issuers’ option, upon not less than 15 nor more than 60 days’ prior notice, at a redemption price equal to 100% of the principal amount of the 2041 Notes being redeemed plus unpaid interest on the 2041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2042 Notes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At any time prior to August 15, 2041 (the date six months prior to the maturity date of the 2042 Notes), the Issuers may redeem the 2042 Notes in whole or in part, at their option, upon not less than 15 nor more than 60 days’ prior notice, at a redemption price equal to the greater of:</w:t>
      </w:r>
    </w:p>
    <w:p>
      <w:pPr>
        <w:spacing w:after="0" w:line="52"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principal amount of the 2042 Notes being redeemed,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2042 Notes being redeemed that would be due if the 2042 Notes matured on August 15, 2041 (the date six months prior to the maturity date of the 2042 Notes), not including unpaid interest accrued to, but excluding, the redemption date, discounted to the redemption date on a semi-annual basis (assuming a 360-day year consisting of twelve 30-day months) at the Treasury Rate plus 20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2042 Notes being redeemed accrued to, but excluding, the redemption date.</w:t>
      </w:r>
    </w:p>
    <w:p>
      <w:pPr>
        <w:spacing w:after="0" w:line="22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On or after August 15, 2041 (the date six months prior to the maturity date of the 2042 Notes), the 2042 Notes will be redeemable, in whole or in part, at any time and from time to time, at the Issuers’ option, upon not less than 15 nor more than 60 days’ prior notice, at a redemption price equal to 100% of the principal amount of the 2042 Notes being redeemed plus unpaid interest on the 2042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jc w:val="center"/>
        <w:ind w:left="340" w:right="540"/>
        <w:spacing w:after="0" w:line="449" w:lineRule="auto"/>
        <w:rPr>
          <w:sz w:val="20"/>
          <w:szCs w:val="20"/>
          <w:color w:val="auto"/>
        </w:rPr>
      </w:pPr>
      <w:r>
        <w:rPr>
          <w:rFonts w:ascii="Arial" w:cs="Arial" w:eastAsia="Arial" w:hAnsi="Arial"/>
          <w:sz w:val="18"/>
          <w:szCs w:val="18"/>
          <w:color w:val="auto"/>
        </w:rPr>
        <w:t>Any redemption and notice of redemption may, at the Issuers’ discretion, be subject to the satisfaction of one or more conditions precedent. 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for the 2051 Notes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At any time prior to May 30, 2051 (the date six months prior to the maturity date of the 2051 Notes), the Issuers may redeem the 2051 Notes in whole or in part, at their option, upon not less than 15 nor more than 60 days’ prior notice, at a redemption price equal to the greater of:</w:t>
      </w:r>
    </w:p>
    <w:p>
      <w:pPr>
        <w:spacing w:after="0" w:line="2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principal amount of the 2051 Notes being redeemed, and</w:t>
      </w:r>
    </w:p>
    <w:p>
      <w:pPr>
        <w:spacing w:after="0" w:line="130" w:lineRule="exact"/>
        <w:rPr>
          <w:rFonts w:ascii="Arial" w:cs="Arial" w:eastAsia="Arial" w:hAnsi="Arial"/>
          <w:sz w:val="18"/>
          <w:szCs w:val="18"/>
          <w:color w:val="auto"/>
        </w:rPr>
      </w:pPr>
    </w:p>
    <w:p>
      <w:pPr>
        <w:jc w:val="both"/>
        <w:ind w:left="1080" w:right="20" w:hanging="424"/>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of principal and interest on the 2051 Notes being redeemed that would be due if the 2051 Notes matured on May 30, 2051 (the date six months prior to the maturity date of the 2051 Notes), not including unpaid interest accrued to, but excluding, the redemption date, discounted to the redemption date on a semi-annual basis (assuming a 360-day year consisting of twelve 30-day months) at the Treasury Rate plus 20 basis points,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each case, unpaid interest on the 2051 Notes being redeemed accrued to, but excluding, the redemption date.</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or after May 30, 2051 (the date six months prior to the maturity date of the 2051 Notes), the 2051 Notes will be redeemable, in whole or in part, at any time and from time to time, at the Issuers’ option, upon not less than 15 nor more than 60 days’ prior notice, at a redemption price equal to 100% of the principal amount of the 2051 Notes being redeemed plus unpaid interest on the 2051 Notes being redeemed accrued to, but excluding, the redemption date.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Notice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redemption and notice of redemption may, at the Issuers’ discretion, be subject to the satisfaction of one or more conditions precedent.</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If the optional redemption date is on or after an interest record date and on or before the related interest payment date, the accrued and unpaid interest to, but excluding, the redemption date, will be paid to the Person in whose name the Note is registered at the close of business on such record date, and no additional interest will be payable to Holders whose Notes will be subject to redemption by the Issuers.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less than all of the Notes of a series are to be redeemed at any time, the Trustee or the Registrar, as applicable, will select the Notes of such series for redemption in compliance with the requirements of the principal securities exchange, if any, on which the Notes of such series are listed, as certified to the Trustee or the Registrar, as applicable, by the Issuers, and in compliance with the requirements of DTC, or if the Notes of such series are not so listed or such exchange prescribes no method of selection and the Notes of such series are not held through DTC or DTC prescribes no method of selection, on a pro rata basis; provided, however, that no Note of $2,000 in aggregate principal amount or less shall be redeemed in part and only Notes in integral multiples of $1,000 will be redeemed. Neither the Trustee nor the Registrar will be liable for any selections made by it in accordance with this paragraph.</w:t>
      </w:r>
    </w:p>
    <w:p>
      <w:pPr>
        <w:spacing w:after="0" w:line="19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If any Note of a series is to be redeemed in part only, the notice of redemption that relates to that Note shall state the portion of the principal amount thereof to be redeemed, in which case a portion of the original Note will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be issued in the name of the Holder thereof upon cancellation of the original Note. In the case of a Global Note, an appropriate notation will be made on such Note to decrease the principal amount thereof to an amount equal to the unredeemed portion thereof. Subject to the terms of the applicable redemption notice (including any conditions contained therein), Notes called for redemption become due on the date fixed for redemption. On and after the redemption date, interest ceases to accrue on Notes or portions of them called for redemption, unless the redemption price is not paid on the redemption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for Taxation Reasons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Issuers, the Parent or a successor to an Issuer or the Parent may redeem the Notes of a series in whole, but not in part, at any time upon giving not less than 15 nor more than 60 days’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“—Withholding Taxes”), if any, then due and which will become due on the tax redemption date as a result of the redemption or otherwise, if any, if an Issuer, the Parent or a successor to an Issuer or the Parent (each, a “</w:t>
      </w:r>
      <w:r>
        <w:rPr>
          <w:rFonts w:ascii="Arial" w:cs="Arial" w:eastAsia="Arial" w:hAnsi="Arial"/>
          <w:sz w:val="17"/>
          <w:szCs w:val="17"/>
          <w:b w:val="1"/>
          <w:bCs w:val="1"/>
          <w:color w:val="auto"/>
        </w:rPr>
        <w:t>Payor</w:t>
      </w:r>
      <w:r>
        <w:rPr>
          <w:rFonts w:ascii="Arial" w:cs="Arial" w:eastAsia="Arial" w:hAnsi="Arial"/>
          <w:sz w:val="17"/>
          <w:szCs w:val="17"/>
          <w:color w:val="auto"/>
        </w:rPr>
        <w:t>”) determines in good faith that, as a result of:</w:t>
      </w:r>
    </w:p>
    <w:p>
      <w:pPr>
        <w:spacing w:after="0" w:line="83" w:lineRule="exact"/>
        <w:rPr>
          <w:sz w:val="20"/>
          <w:szCs w:val="20"/>
          <w:color w:val="auto"/>
        </w:rPr>
      </w:pPr>
    </w:p>
    <w:p>
      <w:pPr>
        <w:ind w:left="1080" w:right="4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 in, or amendment to, the law (or any regulations or rulings promulgated thereunder) of a Relevant Taxing Jurisdiction (as defined herein) affecting taxation; or</w:t>
      </w:r>
    </w:p>
    <w:p>
      <w:pPr>
        <w:spacing w:after="0" w:line="75"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 in, or amendment to, or the introduction of, an official position regarding the application, administration or interpretation of such laws, regulations or rulings (including a holding, judgment or order by a court of competent jurisdiction of a Relevant Taxing Jurisdiction (each of the foregoing in clauses (1) and (2), a “</w:t>
      </w:r>
      <w:r>
        <w:rPr>
          <w:rFonts w:ascii="Arial" w:cs="Arial" w:eastAsia="Arial" w:hAnsi="Arial"/>
          <w:sz w:val="18"/>
          <w:szCs w:val="18"/>
          <w:b w:val="1"/>
          <w:bCs w:val="1"/>
          <w:color w:val="auto"/>
        </w:rPr>
        <w:t>Change in Tax Law</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such Payor is, or on the next interest payment date in respect of the Notes of such series would be, required to pay any Additional Amounts, and such obligation cannot be avoided by taking reasonable measures available to the Issuers, the Parent or a successor to an Issuer or the Parent (including, for the avoidance of doubt, the 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Taxes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All payments made by or on behalf of a Payor on the Notes or the Note Guarantee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pacing w:after="0" w:line="8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Netherlands, the United States or any political subdivision or Governmental Authority thereof or therein having power to tax;</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jurisdiction from or through which payment on any such Note or Note Guarantee is made by the relevant Payor or its agents, or any political subdivision or Governmental Authority thereof or therein having the power to tax; or</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jurisdiction in which the Payor is incorporated or organized, engaged in business for tax purposes, a resident for tax purposes, or any political subdivision or Governmental Authority thereof or therein having the power to tax (each of clause (1), (2) and (3), a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Taxing Jurisdiction</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will at any time be required from any payments made with respect to any Note or the Note Guarantee, including payments of principal, redemption price, premium, if any, or interest, the Payor will pay (together with such payments) such additional amounts (the “</w:t>
      </w:r>
      <w:r>
        <w:rPr>
          <w:rFonts w:ascii="Arial" w:cs="Arial" w:eastAsia="Arial" w:hAnsi="Arial"/>
          <w:sz w:val="18"/>
          <w:szCs w:val="18"/>
          <w:b w:val="1"/>
          <w:bCs w:val="1"/>
          <w:color w:val="auto"/>
        </w:rPr>
        <w:t>Additional Amounts</w:t>
      </w:r>
      <w:r>
        <w:rPr>
          <w:rFonts w:ascii="Arial" w:cs="Arial" w:eastAsia="Arial" w:hAnsi="Arial"/>
          <w:sz w:val="18"/>
          <w:szCs w:val="18"/>
          <w:color w:val="auto"/>
        </w:rPr>
        <w:t>”) as may be necessary in order that the net amounts received in respect of such payments by the Holders after such withholding or deduction (including any such deduction or withholding from such Additional Amounts), will not be less than the amounts which would have been received in respect of such payments on any such Note or the Note Guarantee in the absence of such withholding or deduction; provided, however, that no such Additional Amounts will be payable for or on account of:</w:t>
      </w:r>
    </w:p>
    <w:p>
      <w:pPr>
        <w:spacing w:after="0" w:line="98"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 Holder that is a U.S. Person (as defined below), any Taxes imposed by the United States or a political subdivision thereof;</w:t>
      </w:r>
    </w:p>
    <w:p>
      <w:pPr>
        <w:spacing w:after="0" w:line="153" w:lineRule="exact"/>
        <w:rPr>
          <w:rFonts w:ascii="Arial" w:cs="Arial" w:eastAsia="Arial" w:hAnsi="Arial"/>
          <w:sz w:val="16"/>
          <w:szCs w:val="16"/>
          <w:color w:val="auto"/>
        </w:rPr>
      </w:pPr>
    </w:p>
    <w:p>
      <w:pPr>
        <w:ind w:left="1080" w:right="180" w:hanging="532"/>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Taxes that would not have been so imposed but for the existence of any present or former connection between the relevant Holder or the beneficial owner of a Note (or between a fiduciary, settlor, beneficiary, member or shareholder of, or possessor of power over the relevant Holder or beneficial owner, if the relevant Holder or beneficial owner is an estate, nominee, trust, partnership, limited liability company or corporation) and the Relevant Taxing Jurisdiction (including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w:t>
      </w:r>
    </w:p>
    <w:p>
      <w:pPr>
        <w:spacing w:after="0" w:line="100" w:lineRule="exact"/>
        <w:rPr>
          <w:rFonts w:ascii="Arial" w:cs="Arial" w:eastAsia="Arial" w:hAnsi="Arial"/>
          <w:sz w:val="18"/>
          <w:szCs w:val="18"/>
          <w:color w:val="auto"/>
        </w:rPr>
      </w:pPr>
    </w:p>
    <w:p>
      <w:pPr>
        <w:ind w:left="1080" w:right="80" w:hanging="532"/>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Taxes that are imposed or withheld by reason of the failure by the Holder or the beneficial owner of the Note to comply with a written request of the Payor addressed to the Holder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statute, regulation or administrative practice of the Relevant Taxing Jurisdiction as a precondition to exemption from all or part of such Taxes;</w:t>
      </w:r>
    </w:p>
    <w:p>
      <w:pPr>
        <w:spacing w:after="0" w:line="97"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Taxes that are payable otherwise than by deduction or withholding from a payment of the principal, premium, if any or interest on the Notes;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estate, inheritance, gift, value added, sales, use, excise, transfer, personal property or similar Taxes;</w:t>
      </w:r>
    </w:p>
    <w:p>
      <w:pPr>
        <w:spacing w:after="0" w:line="130" w:lineRule="exact"/>
        <w:rPr>
          <w:rFonts w:ascii="Arial" w:cs="Arial" w:eastAsia="Arial" w:hAnsi="Arial"/>
          <w:sz w:val="18"/>
          <w:szCs w:val="18"/>
          <w:color w:val="auto"/>
        </w:rPr>
      </w:pPr>
    </w:p>
    <w:p>
      <w:pPr>
        <w:ind w:left="1080" w:right="380" w:hanging="532"/>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Taxes imposed in connection with a Note presented for payment (where presentation is required for payment) by or on behalf of a Holder or beneficial owner who would have been able to avoid such Tax by presenting the relevant Note to, or otherwise accepting payment from, another paying agent;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532"/>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imposed by reason of a Holder</w:t>
      </w:r>
      <w:r>
        <w:rPr>
          <w:rFonts w:ascii="Arial" w:cs="Arial" w:eastAsia="Arial" w:hAnsi="Arial"/>
          <w:sz w:val="18"/>
          <w:szCs w:val="18"/>
          <w:i w:val="1"/>
          <w:iCs w:val="1"/>
          <w:color w:val="auto"/>
        </w:rPr>
        <w:t>’</w:t>
      </w:r>
      <w:r>
        <w:rPr>
          <w:rFonts w:ascii="Arial" w:cs="Arial" w:eastAsia="Arial" w:hAnsi="Arial"/>
          <w:sz w:val="18"/>
          <w:szCs w:val="18"/>
          <w:color w:val="auto"/>
        </w:rPr>
        <w:t>s past or present status as a passive foreign investment company, a controlled foreign corporation or a personal holding company, in each case as defined for U.S. federal income tax purposes, or as a corporation that accumulates earnings to avoid U.S. federal income tax;</w:t>
      </w:r>
    </w:p>
    <w:p>
      <w:pPr>
        <w:spacing w:after="0" w:line="89"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imposed on interest received by (1) a 10% shareholder (as defined in section 871(h)(3)(B)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regulations promulgated thereunder) of the Issuers or (2) a controlled foreign corporation that is related to the Issuers within the meaning of section 864(d)(4) of the Code, or (3) a bank receiving interest described in section 881(c)(3)(A) of the Code, to the extent such tax, assessment or other governmental charge would not have been imposed but for the Holder</w:t>
      </w:r>
      <w:r>
        <w:rPr>
          <w:rFonts w:ascii="Arial" w:cs="Arial" w:eastAsia="Arial" w:hAnsi="Arial"/>
          <w:sz w:val="18"/>
          <w:szCs w:val="18"/>
          <w:i w:val="1"/>
          <w:iCs w:val="1"/>
          <w:color w:val="auto"/>
        </w:rPr>
        <w:t>’</w:t>
      </w:r>
      <w:r>
        <w:rPr>
          <w:rFonts w:ascii="Arial" w:cs="Arial" w:eastAsia="Arial" w:hAnsi="Arial"/>
          <w:sz w:val="18"/>
          <w:szCs w:val="18"/>
          <w:color w:val="auto"/>
        </w:rPr>
        <w:t>s status as described in clauses (1) through (3) of this sub-clause (8);</w:t>
      </w:r>
    </w:p>
    <w:p>
      <w:pPr>
        <w:spacing w:after="0" w:line="93" w:lineRule="exact"/>
        <w:rPr>
          <w:rFonts w:ascii="Arial" w:cs="Arial" w:eastAsia="Arial" w:hAnsi="Arial"/>
          <w:sz w:val="18"/>
          <w:szCs w:val="18"/>
          <w:color w:val="auto"/>
        </w:rPr>
      </w:pPr>
    </w:p>
    <w:p>
      <w:pPr>
        <w:ind w:left="1080" w:right="460" w:hanging="532"/>
        <w:spacing w:after="0" w:line="279"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Taxes imposed or required pursuant to an agreement described in Section 1471(b) of the Code,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Such Additional Amounts will also not be payable (x) if the payment could have been made without such deduction or withholding if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(10) inclusive above.</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used in this section “—Withholding Taxes,” “U.S. Person” means any individual who is a citizen or resident of the United States for U.S. federal income tax purposes, a corporation created or organized in or under the laws of the United States, any state of the United States or the District of Columbia, a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7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any Payor will be obligated to pay Additional Amounts under or with respect to any payment made on any Note or the applicable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Wherever in any of the Indentures, the Note Guarantee or this “Description of the New Notes and the Note Guarantee” there is mentioned, in any context:</w:t>
      </w:r>
    </w:p>
    <w:p>
      <w:pPr>
        <w:spacing w:after="0" w:line="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payment of principal,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 prices in connection with a purchase of Notes,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amount payable on or with respect to any of the Notes,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such reference shall be deemed to include payment of Additional Amounts as described under this heading to the extent that, in such context, Additional Amounts are, were or would be payable in respect thereof.</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Payors will pay any present or future stamp, court or documentary Taxes, or any other excise, property or similar Taxes, that arise in any Relevant Taxing Jurisdiction from the execution, delivery, registration or enforcement of any Notes, any of the Indentures or any other document or instrument in relation thereto (other than a transfer or exchange of the Notes), and the Payors agree to indemnify the Holders for any such taxes paid by such Holders.</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foregoing obligations of this “Withholding Taxes” section will survive any termination, defeasance or discharge of the applicable Indenture and will apply mutatis mutandis to any subsequent Relevant Taxing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Treatment of NXP Funding</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NXP Funding may not hold any material assets, become liable for any material obligations or engage in any business activities, provided that it may be a co-obligor or guarantor with respect to the Notes or any other Indebtedness issued by the Company or a Guarantor, and may engage in any activities directly related thereto or necessary in connection therewith. NXP Funding is treated as a disregarded entity of the Company for U.S. federal income tax purposes, and for so long as any of the Notes remain outstanding, the Issuers will not take any action that is inconsistent with NXP Funding being treated as a disregarded entity of the Company for U.S. federal income tax purposes.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plus accrued and unpaid interest, if any, to, but excluding, the date of purchase.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An “</w:t>
      </w:r>
      <w:r>
        <w:rPr>
          <w:rFonts w:ascii="Arial" w:cs="Arial" w:eastAsia="Arial" w:hAnsi="Arial"/>
          <w:sz w:val="18"/>
          <w:szCs w:val="18"/>
          <w:i w:val="1"/>
          <w:iCs w:val="1"/>
          <w:color w:val="auto"/>
        </w:rPr>
        <w:t>Offer to Purchase</w:t>
      </w:r>
      <w:r>
        <w:rPr>
          <w:rFonts w:ascii="Arial" w:cs="Arial" w:eastAsia="Arial" w:hAnsi="Arial"/>
          <w:sz w:val="18"/>
          <w:szCs w:val="18"/>
          <w:color w:val="auto"/>
        </w:rPr>
        <w:t>” must be made by written offer, which will specify the principal amount of Notes subject to the offer and the purchase price. The offer must specify an expiration date (the “</w:t>
      </w:r>
      <w:r>
        <w:rPr>
          <w:rFonts w:ascii="Arial" w:cs="Arial" w:eastAsia="Arial" w:hAnsi="Arial"/>
          <w:sz w:val="18"/>
          <w:szCs w:val="18"/>
          <w:b w:val="1"/>
          <w:bCs w:val="1"/>
          <w:color w:val="auto"/>
        </w:rPr>
        <w:t>expiration date</w:t>
      </w:r>
      <w:r>
        <w:rPr>
          <w:rFonts w:ascii="Arial" w:cs="Arial" w:eastAsia="Arial" w:hAnsi="Arial"/>
          <w:sz w:val="18"/>
          <w:szCs w:val="18"/>
          <w:color w:val="auto"/>
        </w:rPr>
        <w:t>”) not less than 30 days or more than 60 days after the date of the offer and a settlement date for purchase (the “</w:t>
      </w:r>
      <w:r>
        <w:rPr>
          <w:rFonts w:ascii="Arial" w:cs="Arial" w:eastAsia="Arial" w:hAnsi="Arial"/>
          <w:sz w:val="18"/>
          <w:szCs w:val="18"/>
          <w:b w:val="1"/>
          <w:bCs w:val="1"/>
          <w:color w:val="auto"/>
        </w:rPr>
        <w:t>purchase date</w:t>
      </w:r>
      <w:r>
        <w:rPr>
          <w:rFonts w:ascii="Arial" w:cs="Arial" w:eastAsia="Arial" w:hAnsi="Arial"/>
          <w:sz w:val="18"/>
          <w:szCs w:val="18"/>
          <w:color w:val="auto"/>
        </w:rPr>
        <w:t>”) not more than five Business Days after the expiration date. The Offer to Purchase will also contain instructions and materials necessary to enable Holders to tender Notes pursuant to the offer.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9"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Issuers will comply, to the extent applicable, with the requirements of Section 14(e) of the U.S. Exchange Act and any other securities laws or regulations (or rules of any exchange on which the Notes are then listed) in connection with the repurchase of Notes pursuant to this covenant. To the extent that the provisions of any securities laws or regulations (or exchange rules) conflict with the provisions of an Indenture, the Issuers will comply with the applicable securities laws and regulations (or exchange rules) and will not be deemed to have breached their obligations, or require a repurchase of the Notes, under the Change of Control provisions of the applicable Indenture by virtue of the conflict.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Issuers will not be required to make an Offer to Purchase following a Change of Control Triggering Event with respect to a series of Notes if</w:t>
      </w:r>
    </w:p>
    <w:p>
      <w:pPr>
        <w:spacing w:after="0" w:line="46" w:lineRule="exact"/>
        <w:rPr>
          <w:sz w:val="20"/>
          <w:szCs w:val="20"/>
          <w:color w:val="auto"/>
        </w:rPr>
      </w:pPr>
    </w:p>
    <w:p>
      <w:pPr>
        <w:ind w:left="120" w:right="160" w:hanging="4"/>
        <w:spacing w:after="0" w:line="271" w:lineRule="auto"/>
        <w:tabs>
          <w:tab w:leader="none" w:pos="3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third party makes the Offer to Purchase in the manner, at the times and otherwise in compliance with the requirements set forth in the applicable Indenture applicable to an Offer to Purchase made by the Company and purchases all such Notes validly tendered and not withdrawn under such Offer to Purchase or (ii) a notice of redemption has been given pursuant to the applicable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w:t>
      </w:r>
    </w:p>
    <w:p>
      <w:pPr>
        <w:spacing w:after="0" w:line="178" w:lineRule="exact"/>
        <w:rPr>
          <w:sz w:val="20"/>
          <w:szCs w:val="20"/>
          <w:color w:val="auto"/>
        </w:rPr>
      </w:pPr>
    </w:p>
    <w:p>
      <w:pPr>
        <w:ind w:left="120" w:right="280" w:firstLine="440"/>
        <w:spacing w:after="0" w:line="272" w:lineRule="auto"/>
        <w:rPr>
          <w:sz w:val="20"/>
          <w:szCs w:val="20"/>
          <w:color w:val="auto"/>
        </w:rPr>
      </w:pPr>
      <w:r>
        <w:rPr>
          <w:rFonts w:ascii="Arial" w:cs="Arial" w:eastAsia="Arial" w:hAnsi="Arial"/>
          <w:sz w:val="17"/>
          <w:szCs w:val="17"/>
          <w:color w:val="auto"/>
        </w:rPr>
        <w:t>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 the Holders upon a repurchase may be further limited by the Issuers’ then-existing financial resources. See “Risk Factors—Risks Related to Our Indebtedness and the Notes—We may not be able to fulfill our repurchase obligations in the event of a change of control.”</w:t>
      </w:r>
    </w:p>
    <w:p>
      <w:pPr>
        <w:spacing w:after="0" w:line="17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w:t>
      </w:r>
    </w:p>
    <w:p>
      <w:pPr>
        <w:spacing w:after="0" w:line="18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applicable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 Certain Covenants—Limitations on Liens” and “—Certain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applicable Indenture does not contain any covenants or provisions that may afford Holders protection in the event of a highly leveraged transaction.</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provisions under each Indenture relating to the Issuers’ obligation to make an offer to repurchase the Notes as a result of a Change of Control Triggering Event may be waived or modified with the written consent of the Holders of a majority in principal amount of the Notes of the applicable series.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and Interest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Issuers covenant to pay the principal of and interest on the Notes when due and in the manner that is provided in each Indenture.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and Consolidation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29" w:lineRule="exact"/>
        <w:rPr>
          <w:sz w:val="20"/>
          <w:szCs w:val="20"/>
          <w:color w:val="auto"/>
        </w:rPr>
      </w:pPr>
    </w:p>
    <w:p>
      <w:pPr>
        <w:ind w:left="1080" w:right="40" w:hanging="532"/>
        <w:spacing w:after="0" w:line="270"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certain Taxes and expenses due as a result of such transaction, if any), and, in the case of (y), such Person expressly assumes, by supplemental indenture, executed and delivered to the Trustee, all the obligations of the Company under the Notes and the Indentures (any such Person under (x) or (y), a “</w:t>
      </w:r>
      <w:r>
        <w:rPr>
          <w:rFonts w:ascii="Arial" w:cs="Arial" w:eastAsia="Arial" w:hAnsi="Arial"/>
          <w:sz w:val="17"/>
          <w:szCs w:val="17"/>
          <w:i w:val="1"/>
          <w:iCs w:val="1"/>
          <w:color w:val="auto"/>
        </w:rPr>
        <w:t>Successor Company</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1080" w:hanging="532"/>
        <w:spacing w:after="0" w:line="311"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w:t>
      </w:r>
    </w:p>
    <w:p>
      <w:pPr>
        <w:spacing w:after="0" w:line="54"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delivered to the Trustee (i) an Officer’s Certificate and an Opinion of Counsel, each to the effect that such transaction and such supplemental indenture (if any) comply with the Indentures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provided that, in each case, in giving an Opinion of Counsel, counsel may rely on an Officer’s Certificate as to any matters of fact, including as to the satisfaction of clause (2) above.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 in clause (3) of the first paragraph above shall not be applicable to:</w:t>
      </w:r>
    </w:p>
    <w:p>
      <w:pPr>
        <w:spacing w:after="0" w:line="131" w:lineRule="exact"/>
        <w:rPr>
          <w:sz w:val="20"/>
          <w:szCs w:val="20"/>
          <w:color w:val="auto"/>
        </w:rPr>
      </w:pPr>
    </w:p>
    <w:p>
      <w:pPr>
        <w:ind w:left="1080" w:right="1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w:t>
      </w:r>
    </w:p>
    <w:p>
      <w:pPr>
        <w:spacing w:after="0" w:line="92"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provided that, if no supplemental indenture needs to be executed in relation to such transaction, the Company will notify the Trustee of such transaction (but no Officer’s Certificate or Opinion of Counsel shall need to be delivered to the Trustee in relation thereto).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the Company’s assets occurs in accordance with the Indentures, the Successor Company (if other than the Company) will succeed to, and be substituted for the Company and may exercise every right and power under the Indentures and the Notes with the same effect as if such Successor Company had been named in the Company’s place in the Indentures, and the Company will be released from all its obligations and covenants under the Indentures and the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NXP Funding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NXP Funding may not consolidate with, merge with or into any Person or permit any Person to merge with or into NXP Funding unless either</w:t>
      </w:r>
    </w:p>
    <w:p>
      <w:pPr>
        <w:spacing w:after="0" w:line="46" w:lineRule="exact"/>
        <w:rPr>
          <w:sz w:val="20"/>
          <w:szCs w:val="20"/>
          <w:color w:val="auto"/>
        </w:rPr>
      </w:pPr>
    </w:p>
    <w:p>
      <w:pPr>
        <w:jc w:val="both"/>
        <w:ind w:left="120" w:right="100" w:hanging="4"/>
        <w:spacing w:after="0" w:line="253" w:lineRule="auto"/>
        <w:tabs>
          <w:tab w:leader="none" w:pos="3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NXP Funding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NXP Funding or the continuing Person as a result of such transaction) expressly assumes all the obligations of NXP Funding under the Notes and the Indentures.</w:t>
      </w:r>
    </w:p>
    <w:p>
      <w:pPr>
        <w:spacing w:after="0" w:line="19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the consummation of any transaction effected in accordance with (y) in the immediately preceding paragraph, the resulting surviving NXP Funding will succeed to, and be substituted for, NXP Funding and may exercise every right and power under the Indentures and the Notes with the same effect as if such successor Person had been named in NXP Funding’s place in the Indentures, and NXP Funding will be released from all its obligations and covenants under the Indentures and the Notes.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such surviving or transferee Person must be a disregarded entity for U.S. federal income tax purposes, which is either a direct Wholly Owned Subsidiary of the Company, or held through one or more Subsidiaries of the Company that are treated as disregarded entities for U.S. federal income tax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NXP USA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NXP USA may not:</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 with or merge with or into any Person,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sell, convey, transfer or dispose of all or substantially all its assets, in one transaction or a series of related transactions, to any Person, or</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permit any Person to merge with or into NXP USA,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w:t>
      </w:r>
    </w:p>
    <w:p>
      <w:pPr>
        <w:spacing w:after="0" w:line="131" w:lineRule="exact"/>
        <w:rPr>
          <w:sz w:val="20"/>
          <w:szCs w:val="20"/>
          <w:color w:val="auto"/>
        </w:rPr>
      </w:pPr>
    </w:p>
    <w:p>
      <w:pPr>
        <w:ind w:left="1540" w:hanging="439"/>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Person is the Parent, the Company or NXP Funding (or becomes a Subsidiary Guarantor concurrently with the transaction); or</w:t>
      </w:r>
    </w:p>
    <w:p>
      <w:pPr>
        <w:spacing w:after="0" w:line="75" w:lineRule="exact"/>
        <w:rPr>
          <w:rFonts w:ascii="Arial" w:cs="Arial" w:eastAsia="Arial" w:hAnsi="Arial"/>
          <w:sz w:val="18"/>
          <w:szCs w:val="18"/>
          <w:color w:val="auto"/>
        </w:rPr>
      </w:pPr>
    </w:p>
    <w:p>
      <w:pPr>
        <w:ind w:left="1540" w:right="120" w:hanging="439"/>
        <w:spacing w:after="0" w:line="263"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either (x) NXP USA is the continuing Person or (y) the resulting, surviving or transferee Person expressly assumes all of the obligations of NXP USA under the Notes; and (2) immediately after giving effect to the transaction, no Default or Event of Default has occurred and is continuing; or</w:t>
      </w:r>
    </w:p>
    <w:p>
      <w:pPr>
        <w:spacing w:after="0" w:line="89" w:lineRule="exact"/>
        <w:rPr>
          <w:rFonts w:ascii="Arial" w:cs="Arial" w:eastAsia="Arial" w:hAnsi="Arial"/>
          <w:sz w:val="18"/>
          <w:szCs w:val="18"/>
          <w:color w:val="auto"/>
        </w:rPr>
      </w:pPr>
    </w:p>
    <w:p>
      <w:pPr>
        <w:ind w:left="1540" w:right="460" w:hanging="439"/>
        <w:spacing w:after="0" w:line="277" w:lineRule="auto"/>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transaction constitutes a sale or other disposition (including by way of consolidation or merger) of NXP USA or the sale or disposition of all or substantially all the assets of NXP USA otherwise permitted by the Indentures.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NXP USA’s obligations with respect to a series of Notes will terminate and release:</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a sale or other disposition (including by way of consolidation or merger) of the Capital Stock of NXP USA or of a Person who holds all of the Capital Stock of NXP USA, such that NXP USA does not remain a Subsidiary, or the sale or disposition of all or substantially all of the assets of NXP USA, in each case, as otherwise permitted by the Indentures;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defeasance or discharge of the Notes of such series, as provided in the provisions described under “—Defeasance” and “— Satisfaction and Discharge;”</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the option of the Issuers, so long as no Event of Default has occurred and is continuing with respect to such series of Notes, once NXP USA is unconditionally released from its liability with respect to (i) the Revolving Credit Agreement and (ii) the Existing Notes.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Parent</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Parent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29" w:lineRule="exact"/>
        <w:rPr>
          <w:sz w:val="20"/>
          <w:szCs w:val="20"/>
          <w:color w:val="auto"/>
        </w:rPr>
      </w:pPr>
    </w:p>
    <w:p>
      <w:pPr>
        <w:ind w:left="1080" w:right="80" w:hanging="532"/>
        <w:spacing w:after="0" w:line="270"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certain Taxes and expenses due as a result of such transaction, if any), and, in the case of (y), such Person expressly assumes, by supplemental indenture, executed and delivered to the Trustee, all the obligations of the Parent under the Notes and the Indentures (any such Person under (x) or (y), a “</w:t>
      </w:r>
      <w:r>
        <w:rPr>
          <w:rFonts w:ascii="Arial" w:cs="Arial" w:eastAsia="Arial" w:hAnsi="Arial"/>
          <w:sz w:val="17"/>
          <w:szCs w:val="17"/>
          <w:i w:val="1"/>
          <w:iCs w:val="1"/>
          <w:color w:val="auto"/>
        </w:rPr>
        <w:t>Successor Parent</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1080" w:right="140" w:hanging="532"/>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w:t>
      </w:r>
    </w:p>
    <w:p>
      <w:pPr>
        <w:spacing w:after="0" w:line="70" w:lineRule="exact"/>
        <w:rPr>
          <w:rFonts w:ascii="Arial" w:cs="Arial" w:eastAsia="Arial" w:hAnsi="Arial"/>
          <w:sz w:val="17"/>
          <w:szCs w:val="17"/>
          <w:color w:val="auto"/>
        </w:rPr>
      </w:pPr>
    </w:p>
    <w:p>
      <w:pPr>
        <w:ind w:left="1080" w:right="40" w:hanging="532"/>
        <w:spacing w:after="0" w:line="285"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Parent shall have delivered to the Trustee (i) an Officer’s Certificate and an Opinion of Counsel, each to the effect that such transaction and such supplemental indenture (if any) comply with the Indentures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provided that, in each case, in giving an Opinion of Counsel, counsel may rely on an Officer’s Certificate as to any matters of fact, including as to the satisfaction of clause</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(2) above.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 in clause (3) of the first paragraph above shall not be applicable to:</w:t>
      </w:r>
    </w:p>
    <w:p>
      <w:pPr>
        <w:spacing w:after="0" w:line="131" w:lineRule="exact"/>
        <w:rPr>
          <w:sz w:val="20"/>
          <w:szCs w:val="20"/>
          <w:color w:val="auto"/>
        </w:rPr>
      </w:pPr>
    </w:p>
    <w:p>
      <w:pPr>
        <w:ind w:left="1540" w:hanging="439"/>
        <w:spacing w:after="0" w:line="259"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 or</w:t>
      </w:r>
    </w:p>
    <w:p>
      <w:pPr>
        <w:spacing w:after="0" w:line="92" w:lineRule="exact"/>
        <w:rPr>
          <w:rFonts w:ascii="Arial" w:cs="Arial" w:eastAsia="Arial" w:hAnsi="Arial"/>
          <w:sz w:val="18"/>
          <w:szCs w:val="18"/>
          <w:color w:val="auto"/>
        </w:rPr>
      </w:pPr>
    </w:p>
    <w:p>
      <w:pPr>
        <w:ind w:left="1540" w:hanging="439"/>
        <w:spacing w:after="0" w:line="263"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w:t>
      </w:r>
    </w:p>
    <w:p>
      <w:pPr>
        <w:spacing w:after="0" w:line="89"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consolidation with or merger with or into the Parent, or the sale, assignment, conveyance, lease, transfer or other disposition of all or substantially all the Parent’s assets, if (i) an Officer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57" w:lineRule="auto"/>
        <w:rPr>
          <w:sz w:val="20"/>
          <w:szCs w:val="20"/>
          <w:color w:val="auto"/>
        </w:rPr>
      </w:pPr>
      <w:r>
        <w:rPr>
          <w:rFonts w:ascii="Arial" w:cs="Arial" w:eastAsia="Arial" w:hAnsi="Arial"/>
          <w:sz w:val="18"/>
          <w:szCs w:val="18"/>
          <w:color w:val="auto"/>
        </w:rPr>
        <w:t>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Indentures,</w:t>
      </w:r>
    </w:p>
    <w:p>
      <w:pPr>
        <w:spacing w:after="0" w:line="188"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provided that, if no supplemental indenture needs to be executed in relation to such transaction, the Parent will notify the Trustee of such transaction (but no Officer’s Certificate or Opinion of Counsel shall need to be delivered to the Trustee in relation thereto).</w:t>
      </w:r>
    </w:p>
    <w:p>
      <w:pPr>
        <w:spacing w:after="0" w:line="146"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Indentures, the Successor Parent (if other than the Parent) will succeed to, and be substituted for the Parent and may exercise every right and power under the Indentures and the Notes with the same effect as if such Successor Parent had been named in the Parent’s place in the Indentures, and the Parent will be released from all its obligations and covenants under the Indentures and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to the covenants set forth above, the following additional covenants shall apply to the Notes. These covenants do not limit the Issuers’ ability to Incur Indebtedness.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Indentures provide that, so long as any Notes of a series are outstanding, the Company and NXP Funding will not, and will not permit any Significant Subsidiary to, issue or assume any Indebtedness if such Indebtedness is secured by a Lien, other than a Permitted Lien, upon any Principal Property of the Company and NXP Funding or any Significant Subsidiary without:</w:t>
      </w:r>
    </w:p>
    <w:p>
      <w:pPr>
        <w:spacing w:after="0" w:line="89" w:lineRule="exact"/>
        <w:rPr>
          <w:sz w:val="20"/>
          <w:szCs w:val="20"/>
          <w:color w:val="auto"/>
        </w:rPr>
      </w:pPr>
    </w:p>
    <w:p>
      <w:pPr>
        <w:ind w:left="1080" w:right="14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same time providing that the Notes of such series and the obligations under the Indentures with respect to such series are directly, equally and ratably secured with (or prior to, in the case of Liens with respect to Subordinated Indebtedness) the Indebtedness secured by such Lien for so long as such Indebtedness is so secured; or</w:t>
      </w:r>
    </w:p>
    <w:p>
      <w:pPr>
        <w:spacing w:after="0" w:line="89"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such other Lien for the Notes of such series and the obligations under the Indentures as may be approved by a majority in aggregate principal amount of Holders of Notes of such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Sale and Leaseback Transactions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Indentures provide that, so long as any Notes of a series thereunder are outstanding, the Company and NXP Funding will not, and will not permit any Significant Subsidiary to, enter into any Sale and Leaseback Transaction with respect to any Principal Property unless:</w:t>
      </w:r>
    </w:p>
    <w:p>
      <w:pPr>
        <w:spacing w:after="0" w:line="52" w:lineRule="exact"/>
        <w:rPr>
          <w:sz w:val="20"/>
          <w:szCs w:val="20"/>
          <w:color w:val="auto"/>
        </w:rPr>
      </w:pPr>
    </w:p>
    <w:p>
      <w:pPr>
        <w:ind w:left="1080" w:right="20" w:hanging="532"/>
        <w:spacing w:after="0" w:line="286"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9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net proceeds of the sale of the Principal Property to be leased are applied within 365 days of the effective date of the Sale and Leaseback Transaction to (i) the purchase, construction, development or acquisition of another Principal Property or (ii) the repayment of</w:t>
      </w:r>
    </w:p>
    <w:p>
      <w:pPr>
        <w:ind w:left="1080"/>
        <w:spacing w:after="0"/>
        <w:rPr>
          <w:rFonts w:ascii="Arial" w:cs="Arial" w:eastAsia="Arial" w:hAnsi="Arial"/>
          <w:sz w:val="16"/>
          <w:szCs w:val="16"/>
          <w:color w:val="auto"/>
        </w:rPr>
      </w:pPr>
      <w:r>
        <w:rPr>
          <w:rFonts w:ascii="Arial" w:cs="Arial" w:eastAsia="Arial" w:hAnsi="Arial"/>
          <w:sz w:val="18"/>
          <w:szCs w:val="18"/>
          <w:color w:val="auto"/>
        </w:rPr>
        <w:t>(x) any series of Notes,</w:t>
      </w:r>
    </w:p>
    <w:p>
      <w:pPr>
        <w:spacing w:after="0" w:line="116"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Indebtedness of the Company and NXP Funding that ranks equally with, or is senior to, the Notes or (z) any Indebtedness of one or more Significant Subsidiaries; provided, in each case, that in lieu of applying such amount to such retirement, we may deliver Notes to the Trustee for cancellation, such Notes to be credited at the cost thereof to us;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Sale and Leaseback Transaction was entered into prior to the Issue Date;</w:t>
      </w:r>
    </w:p>
    <w:p>
      <w:pPr>
        <w:spacing w:after="0" w:line="130" w:lineRule="exact"/>
        <w:rPr>
          <w:rFonts w:ascii="Arial" w:cs="Arial" w:eastAsia="Arial" w:hAnsi="Arial"/>
          <w:sz w:val="18"/>
          <w:szCs w:val="18"/>
          <w:color w:val="auto"/>
        </w:rPr>
      </w:pPr>
    </w:p>
    <w:p>
      <w:pPr>
        <w:ind w:left="1080" w:right="360" w:hanging="532"/>
        <w:spacing w:after="0" w:line="25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Sale and Leaseback Transaction involves a lease for not more than three years (or which may be terminated by the Company or a Significant Subsidiary within a period of not more than three years); or</w:t>
      </w:r>
    </w:p>
    <w:p>
      <w:pPr>
        <w:spacing w:after="0" w:line="1" w:lineRule="exact"/>
        <w:rPr>
          <w:rFonts w:ascii="Arial" w:cs="Arial" w:eastAsia="Arial" w:hAnsi="Arial"/>
          <w:sz w:val="18"/>
          <w:szCs w:val="18"/>
          <w:color w:val="auto"/>
        </w:rPr>
      </w:pPr>
    </w:p>
    <w:p>
      <w:pPr>
        <w:ind w:left="1080" w:right="80" w:hanging="532"/>
        <w:spacing w:after="0" w:line="260"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Sale and Leaseback Transaction with respect to any Principal Property was between only the Parent and a Subsidiary of the Parent or only between Subsidiaries of the Parent.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is an Event of Default under the applicable Indenture:</w:t>
      </w:r>
    </w:p>
    <w:p>
      <w:pPr>
        <w:spacing w:after="0" w:line="131" w:lineRule="exact"/>
        <w:rPr>
          <w:sz w:val="20"/>
          <w:szCs w:val="20"/>
          <w:color w:val="auto"/>
        </w:rPr>
      </w:pPr>
    </w:p>
    <w:p>
      <w:pPr>
        <w:ind w:left="1080" w:right="20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in any payment of interest or Additional Amounts, if any, on any applicable Note when due and payable, if that default continues for a period of 30 days, or failure to comply for 30 days with the notice provisions in connection with a Change of Control Triggering Event after such notice has become due;</w:t>
      </w:r>
    </w:p>
    <w:p>
      <w:pPr>
        <w:spacing w:after="0" w:line="89" w:lineRule="exact"/>
        <w:rPr>
          <w:rFonts w:ascii="Arial" w:cs="Arial" w:eastAsia="Arial" w:hAnsi="Arial"/>
          <w:sz w:val="18"/>
          <w:szCs w:val="18"/>
          <w:color w:val="auto"/>
        </w:rPr>
      </w:pPr>
    </w:p>
    <w:p>
      <w:pPr>
        <w:ind w:left="1080" w:right="24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in the payment of the principal amount of, or premium, if any, on any Note issued under the applicable Indenture when due at its Stated Maturity or upon optional redemption or otherwise (including the failure to pay the repurchase price for such Notes tendered pursuant to an Offer to Purchase), if that default or failure continues for a period of two days;</w:t>
      </w:r>
    </w:p>
    <w:p>
      <w:pPr>
        <w:spacing w:after="0" w:line="89" w:lineRule="exact"/>
        <w:rPr>
          <w:rFonts w:ascii="Arial" w:cs="Arial" w:eastAsia="Arial" w:hAnsi="Arial"/>
          <w:sz w:val="18"/>
          <w:szCs w:val="18"/>
          <w:color w:val="auto"/>
        </w:rPr>
      </w:pPr>
    </w:p>
    <w:p>
      <w:pPr>
        <w:jc w:val="both"/>
        <w:ind w:left="1080" w:right="160" w:hanging="532"/>
        <w:spacing w:after="0" w:line="31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failure to comply for 90 days after written notice by the Trustee on behalf of the Holders or by the Holders of 30% in aggregate principal amount of the outstanding Notes of an applicable series with any of the Issuers’ or the Parent’s obligations under the covenants described under “—Certain Covenants” above (in each case, other than an Event of Default as described in clause (1) or (2) above);</w:t>
      </w:r>
    </w:p>
    <w:p>
      <w:pPr>
        <w:spacing w:after="0" w:line="54" w:lineRule="exact"/>
        <w:rPr>
          <w:rFonts w:ascii="Arial" w:cs="Arial" w:eastAsia="Arial" w:hAnsi="Arial"/>
          <w:sz w:val="16"/>
          <w:szCs w:val="16"/>
          <w:color w:val="auto"/>
        </w:rPr>
      </w:pPr>
    </w:p>
    <w:p>
      <w:pPr>
        <w:ind w:left="1080" w:hanging="532"/>
        <w:spacing w:after="0" w:line="30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the Company or NXP Funding or a Significant Subsidiary (or the payment of which is Guaranteed by the Company, NXP Funding or a Significant Subsidiary) other than Indebtedness owed to any of the Parent, the Company, NXP Funding or a Significant Subsidiary, whether such Indebtedness or Guarantee now exists, or is created after the date hereof and:</w:t>
      </w:r>
    </w:p>
    <w:p>
      <w:pPr>
        <w:spacing w:after="0" w:line="62" w:lineRule="exact"/>
        <w:rPr>
          <w:rFonts w:ascii="Arial" w:cs="Arial" w:eastAsia="Arial" w:hAnsi="Arial"/>
          <w:sz w:val="16"/>
          <w:szCs w:val="16"/>
          <w:color w:val="auto"/>
        </w:rPr>
      </w:pPr>
    </w:p>
    <w:p>
      <w:pPr>
        <w:ind w:left="1540" w:right="380" w:hanging="439"/>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is caused by a failure to pay principal at the Stated Maturity on such Indebtedness, immediately upon the expiration of the grace period provided in such Indebtedness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540" w:right="660" w:hanging="439"/>
        <w:spacing w:after="0" w:line="277" w:lineRule="auto"/>
        <w:tabs>
          <w:tab w:leader="none" w:pos="1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not rescinded or cured within 30 days after such acceleration (the “</w:t>
      </w:r>
      <w:r>
        <w:rPr>
          <w:rFonts w:ascii="Arial" w:cs="Arial" w:eastAsia="Arial" w:hAnsi="Arial"/>
          <w:sz w:val="18"/>
          <w:szCs w:val="18"/>
          <w:b w:val="1"/>
          <w:bCs w:val="1"/>
          <w:color w:val="auto"/>
        </w:rPr>
        <w:t>cross acceleration provision</w:t>
      </w:r>
      <w:r>
        <w:rPr>
          <w:rFonts w:ascii="Arial" w:cs="Arial" w:eastAsia="Arial" w:hAnsi="Arial"/>
          <w:sz w:val="18"/>
          <w:szCs w:val="18"/>
          <w:color w:val="auto"/>
        </w:rPr>
        <w:t>”),</w:t>
      </w:r>
    </w:p>
    <w:p>
      <w:pPr>
        <w:spacing w:after="0" w:line="62"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 day period, aggregates to €200 million or more;</w:t>
      </w:r>
    </w:p>
    <w:p>
      <w:pPr>
        <w:spacing w:after="0" w:line="89" w:lineRule="exact"/>
        <w:rPr>
          <w:sz w:val="20"/>
          <w:szCs w:val="20"/>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events of bankruptcy, insolvency or court protection of any of the Parent, the Company, NXP Funding or a Significant Subsidiary (the “</w:t>
      </w:r>
      <w:r>
        <w:rPr>
          <w:rFonts w:ascii="Arial" w:cs="Arial" w:eastAsia="Arial" w:hAnsi="Arial"/>
          <w:sz w:val="18"/>
          <w:szCs w:val="18"/>
          <w:b w:val="1"/>
          <w:bCs w:val="1"/>
          <w:color w:val="auto"/>
        </w:rPr>
        <w:t>bankruptcy provisions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failure by any of the Parent, the Company, NXP Funding or a Significant Subsidiary to pay final judgments aggregating in excess of €200 million (exclusive of any amounts that a solvent insurance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company has acknowledged liability for), which judgments are not paid, discharged or stayed for a period of 60 days after the judgment becomes final and non-appealable (the “</w:t>
      </w:r>
      <w:r>
        <w:rPr>
          <w:rFonts w:ascii="Arial" w:cs="Arial" w:eastAsia="Arial" w:hAnsi="Arial"/>
          <w:sz w:val="18"/>
          <w:szCs w:val="18"/>
          <w:b w:val="1"/>
          <w:bCs w:val="1"/>
          <w:color w:val="auto"/>
        </w:rPr>
        <w:t>judgment default provision</w:t>
      </w:r>
      <w:r>
        <w:rPr>
          <w:rFonts w:ascii="Arial" w:cs="Arial" w:eastAsia="Arial" w:hAnsi="Arial"/>
          <w:sz w:val="18"/>
          <w:szCs w:val="18"/>
          <w:color w:val="auto"/>
        </w:rPr>
        <w:t>”); and</w:t>
      </w:r>
    </w:p>
    <w:p>
      <w:pPr>
        <w:spacing w:after="0" w:line="76" w:lineRule="exact"/>
        <w:rPr>
          <w:sz w:val="20"/>
          <w:szCs w:val="20"/>
          <w:color w:val="auto"/>
        </w:rPr>
      </w:pPr>
    </w:p>
    <w:p>
      <w:pPr>
        <w:ind w:left="1080" w:right="4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Guarantee ceases to be in full force and effect, other than in accordance with the terms of the applicable Indenture or the Parent denies or disaffirms in writing its obligations under its Guarantee, other than in accordance with the terms thereof or upon release of the Guarantee in accordance with the applicable Indenture.</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However, a default under clauses (3), (4) or (6) of this paragraph will not constitute an Event of Default with respect to a series of Notes until the Trustee or the Holders of 30% in aggregate principal amount of the outstanding Notes of such series notify the Issuers and the Trustee (as applicable) of the default and, with respect to clauses (3), (4), and (6) the Issuers do not cure such default within the time specified in clauses (3), (4) or (6), as applicable, of this paragraph after receipt of such notice.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an Event of Default (other than an Event of Default described in clause (5) above) occurs and is continuing, the Trustee by notice to any Issuer or the Holders of a series of Notes of at least 30% in principal aggregate amount of the outstanding Notes of the applicable series of Notes by written notice to any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w:t>
      </w:r>
    </w:p>
    <w:p>
      <w:pPr>
        <w:spacing w:after="0" w:line="17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Holders of a majority in aggregate principal amount of the outstanding Notes of a series of Notes under the applicable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provisions of the applicable Indentures relating to the duties of the Trustee, if an Event of Default occurs and is continuing, the Trustee will be under no obligation to exercise any of the rights or powers under the Indentures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applicable Indenture or the Notes of a series unless:</w:t>
      </w:r>
    </w:p>
    <w:p>
      <w:pPr>
        <w:spacing w:after="0" w:line="93"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outstanding Notes of the applicable series have requested in writing the Trustee to pursue the remedy;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Holders have offered in writing the Trustee reasonable security or indemnity satisfactory to the Trustee against any loss, liability or expense;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written request and the offer of security or indemnity; and</w:t>
      </w:r>
    </w:p>
    <w:p>
      <w:pPr>
        <w:spacing w:after="0" w:line="75" w:lineRule="exact"/>
        <w:rPr>
          <w:rFonts w:ascii="Arial" w:cs="Arial" w:eastAsia="Arial" w:hAnsi="Arial"/>
          <w:sz w:val="18"/>
          <w:szCs w:val="18"/>
          <w:color w:val="auto"/>
        </w:rPr>
      </w:pPr>
    </w:p>
    <w:p>
      <w:pPr>
        <w:ind w:left="1080" w:right="440" w:hanging="532"/>
        <w:spacing w:after="0" w:line="308"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outstanding Notes of the applicable series have not given the Trustee a written direction that, in the opinion of the Trustee, is inconsistent with such request within such 60-day period.</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Indentures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applicable Indenture or that the Trustee determines is unduly prejudicial to the rights of any other Holder or that would involve the Trustee in personal liability. Prior to taking any action under an Indenture, the Trustee will be entitled to indemnification reasonably satisfactory to it against all losses and expenses caused by taking or not taking such action.</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Each Indenture provides that if a Default or Event of Default with respect to a series of Notes occurs and is continuing and the Trustee is informed of such occurrence by any Issuer, the Trustee must give notice of the Default or Event of Default to the Holders of the applicable series within 60 days after being notified by any Issuer. Except in the case of a Default or Event of Default in the payment of principal of, or premium, if any, or interest on any Note of an applicable series, the Trustee may withhold notice if and so long as a committee of trust officers of the Trustee in good faith determines that withholding notice is in the interests of the Holders of such series.</w:t>
      </w:r>
    </w:p>
    <w:p>
      <w:pPr>
        <w:spacing w:after="0" w:line="18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w:t>
      </w:r>
    </w:p>
    <w:p>
      <w:pPr>
        <w:spacing w:after="0" w:line="97" w:lineRule="exact"/>
        <w:rPr>
          <w:sz w:val="20"/>
          <w:szCs w:val="20"/>
          <w:color w:val="auto"/>
        </w:rPr>
      </w:pPr>
    </w:p>
    <w:p>
      <w:pPr>
        <w:ind w:left="5540" w:right="3540" w:hanging="4992"/>
        <w:spacing w:after="0" w:line="449" w:lineRule="auto"/>
        <w:tabs>
          <w:tab w:leader="none" w:pos="10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stated rate of or extend the stated time for payment of interest on any such Note;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principal of or extend the Stated Maturity of any such Note;</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reduce the premium payable upon the redemption of any such Note or change the time at which any such Note may be redeemed, in each case as described above under “—Optional Redemption”;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such Note payable in money other than that stated in such Note;</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and interest on such Holder’s Notes on or after the due dates therefor or to institute suit for the enforcement of any such payment on or with respect to such Holder’s Notes;</w:t>
      </w:r>
    </w:p>
    <w:p>
      <w:pPr>
        <w:spacing w:after="0" w:line="7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in the provision of an applicable Indenture described under “—Withholding Taxes” that adversely affects the right of any Holder of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release NXP USA from all obligations with respect to the Notes, other than pursuant to the terms of the applicable Indenture;</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in the amendment or waiver provisions which require the Holders’ consent described in this sentence.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Notwithstanding the foregoing, without the consent of any Holder, the Issuers, the Trustee and the other parties thereto, as applicable, may amend or supplement any Note Documents to:</w:t>
      </w:r>
    </w:p>
    <w:p>
      <w:pPr>
        <w:spacing w:after="0" w:line="76" w:lineRule="exact"/>
        <w:rPr>
          <w:sz w:val="20"/>
          <w:szCs w:val="20"/>
          <w:color w:val="auto"/>
        </w:rPr>
      </w:pPr>
    </w:p>
    <w:p>
      <w:pPr>
        <w:ind w:left="1080" w:right="28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cure any ambiguity, omission, defect, error or inconsistency, conform any provision to this “Description of the New Notes and the Note Guarantee”, or reduce the minimum denomination of the Notes;</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the assumption by a Successor Company or a Successor Parent of the obligations of the Issuers under any Note Document, as permitted by the applicable Indenture;</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 (provided that the uncertificated Notes are issued in registered form for U.S. federal income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add to the covenants or provide for a Guarantee for the benefit of the Holders or surrender any right or power conferred upon the Issuers;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the Issuers’ election, comply with any requirement of the SEC in connection with the qualification of the applicable Indenture under the Trust Indenture Act of 1939, if such qualification is required;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such provisions as are necessary (as determined by an Officer or the Board of Directors in good faith) for the issuance of Additional Notes;</w:t>
      </w:r>
    </w:p>
    <w:p>
      <w:pPr>
        <w:spacing w:after="0" w:line="75" w:lineRule="exact"/>
        <w:rPr>
          <w:rFonts w:ascii="Arial" w:cs="Arial" w:eastAsia="Arial" w:hAnsi="Arial"/>
          <w:sz w:val="18"/>
          <w:szCs w:val="18"/>
          <w:color w:val="auto"/>
        </w:rPr>
      </w:pPr>
    </w:p>
    <w:p>
      <w:pPr>
        <w:ind w:left="1080" w:right="60" w:hanging="532"/>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add Guarantees with respect to the Notes, or to confirm and evidence the release, termination, discharge or retaking of any Guarantee or NXP USA with respect to the Notes when such release, termination, discharge or retaking is provided for under the applicable Indenture;</w:t>
      </w:r>
    </w:p>
    <w:p>
      <w:pPr>
        <w:spacing w:after="0" w:line="29"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for the assumption by a Successor Parent of the obligations of the Parent under the Note Guarantee, as permitted by the applicable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under the applicable Indenture of a successor Trustee pursuant to the requirements thereof or to provide for the accession by the Trustee to any Note Document.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consent of the Holders is not necessary under the applicable Indenture to approve the particular form of any proposed amendment of any Note Document. It is sufficient if such consent approves the substance of the proposed amendment. A consent to any amendment or waiver under the applicable Indenture by any Holder of Notes given in connection with a tender of such Holder’s Notes will not be rendered invalid by such tender.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Acts by Holders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determining whether the Holders of the required aggregate principal amount of the Notes have concurred in any direction, waiver or consent, the Notes owned by the Issuers or by any Person directly or indirectly controlled, or controlled by, or under direct or indirect common control with, the Issuers will be disregarded and deemed not to be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Any Issuer at any time may terminate all obligations of the Issuers and the Parent with respect to a series of Notes and the applicable Indenture (“</w:t>
      </w:r>
      <w:r>
        <w:rPr>
          <w:rFonts w:ascii="Arial" w:cs="Arial" w:eastAsia="Arial" w:hAnsi="Arial"/>
          <w:sz w:val="16"/>
          <w:szCs w:val="16"/>
          <w:b w:val="1"/>
          <w:bCs w:val="1"/>
          <w:color w:val="auto"/>
        </w:rPr>
        <w:t>legal defeasance</w:t>
      </w:r>
      <w:r>
        <w:rPr>
          <w:rFonts w:ascii="Arial" w:cs="Arial" w:eastAsia="Arial" w:hAnsi="Arial"/>
          <w:sz w:val="16"/>
          <w:szCs w:val="16"/>
          <w:color w:val="auto"/>
        </w:rPr>
        <w:t>”) and cure all then existing Defaults and Events of Default 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w:t>
      </w:r>
    </w:p>
    <w:p>
      <w:pPr>
        <w:spacing w:after="0" w:line="161"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Arial" w:cs="Arial" w:eastAsia="Arial" w:hAnsi="Arial"/>
          <w:sz w:val="18"/>
          <w:szCs w:val="18"/>
          <w:b w:val="1"/>
          <w:bCs w:val="1"/>
          <w:color w:val="auto"/>
        </w:rPr>
        <w:t>covenant defeasance</w:t>
      </w:r>
      <w:r>
        <w:rPr>
          <w:rFonts w:ascii="Arial" w:cs="Arial" w:eastAsia="Arial" w:hAnsi="Arial"/>
          <w:sz w:val="18"/>
          <w:szCs w:val="18"/>
          <w:color w:val="auto"/>
        </w:rPr>
        <w:t>”).</w:t>
      </w:r>
    </w:p>
    <w:p>
      <w:pPr>
        <w:spacing w:after="0" w:line="19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w:t>
      </w:r>
    </w:p>
    <w:p>
      <w:pPr>
        <w:spacing w:after="0" w:line="191" w:lineRule="exact"/>
        <w:rPr>
          <w:sz w:val="20"/>
          <w:szCs w:val="20"/>
          <w:color w:val="auto"/>
        </w:rPr>
      </w:pPr>
    </w:p>
    <w:p>
      <w:pPr>
        <w:ind w:left="120" w:right="240" w:firstLine="440"/>
        <w:spacing w:after="0" w:line="261" w:lineRule="auto"/>
        <w:rPr>
          <w:sz w:val="20"/>
          <w:szCs w:val="20"/>
          <w:color w:val="auto"/>
        </w:rPr>
      </w:pPr>
      <w:r>
        <w:rPr>
          <w:rFonts w:ascii="Arial" w:cs="Arial" w:eastAsia="Arial" w:hAnsi="Arial"/>
          <w:sz w:val="18"/>
          <w:szCs w:val="18"/>
          <w:color w:val="auto"/>
        </w:rPr>
        <w:t>In order to exercise either defeasance option with respect to such series of Notes, the Issuers must irrevocably deposit in trust (the “</w:t>
      </w:r>
      <w:r>
        <w:rPr>
          <w:rFonts w:ascii="Arial" w:cs="Arial" w:eastAsia="Arial" w:hAnsi="Arial"/>
          <w:sz w:val="18"/>
          <w:szCs w:val="18"/>
          <w:b w:val="1"/>
          <w:bCs w:val="1"/>
          <w:color w:val="auto"/>
        </w:rPr>
        <w:t>defeasance</w:t>
      </w:r>
      <w:r>
        <w:rPr>
          <w:rFonts w:ascii="Arial" w:cs="Arial" w:eastAsia="Arial" w:hAnsi="Arial"/>
          <w:sz w:val="18"/>
          <w:szCs w:val="18"/>
          <w:color w:val="auto"/>
        </w:rPr>
        <w:t xml:space="preserve"> </w:t>
      </w:r>
      <w:r>
        <w:rPr>
          <w:rFonts w:ascii="Arial" w:cs="Arial" w:eastAsia="Arial" w:hAnsi="Arial"/>
          <w:sz w:val="18"/>
          <w:szCs w:val="18"/>
          <w:b w:val="1"/>
          <w:bCs w:val="1"/>
          <w:color w:val="auto"/>
        </w:rPr>
        <w:t>trust</w:t>
      </w:r>
      <w:r>
        <w:rPr>
          <w:rFonts w:ascii="Arial" w:cs="Arial" w:eastAsia="Arial" w:hAnsi="Arial"/>
          <w:sz w:val="18"/>
          <w:szCs w:val="18"/>
          <w:color w:val="auto"/>
        </w:rPr>
        <w:t>”) with the Trustee (or such entity designated by the Trustee for this purpose) cash in dollars or U.S. Government Obligations or a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for the payment of principal, premium, if any, and interest on the Notes of such series to redemption or maturity, as the case may be, and must comply with certain other conditions, including delivery to the Trustee of:</w:t>
      </w:r>
    </w:p>
    <w:p>
      <w:pPr>
        <w:spacing w:after="0" w:line="89" w:lineRule="exact"/>
        <w:rPr>
          <w:sz w:val="20"/>
          <w:szCs w:val="20"/>
          <w:color w:val="auto"/>
        </w:rPr>
      </w:pPr>
    </w:p>
    <w:p>
      <w:pPr>
        <w:ind w:left="1080" w:right="6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legal defeasance, an Opinion of Counsel in the United States to the effect that, subject to customary assumptions and exclusions, the beneficial owners of the Notes will not recognize income,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301" w:lineRule="auto"/>
        <w:rPr>
          <w:sz w:val="20"/>
          <w:szCs w:val="20"/>
          <w:color w:val="auto"/>
        </w:rPr>
      </w:pPr>
      <w:r>
        <w:rPr>
          <w:rFonts w:ascii="Arial" w:cs="Arial" w:eastAsia="Arial" w:hAnsi="Arial"/>
          <w:sz w:val="16"/>
          <w:szCs w:val="16"/>
          <w:color w:val="auto"/>
        </w:rPr>
        <w:t>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w:t>
      </w:r>
    </w:p>
    <w:p>
      <w:pPr>
        <w:spacing w:after="0" w:line="63" w:lineRule="exact"/>
        <w:rPr>
          <w:sz w:val="20"/>
          <w:szCs w:val="20"/>
          <w:color w:val="auto"/>
        </w:rPr>
      </w:pPr>
    </w:p>
    <w:p>
      <w:pPr>
        <w:ind w:left="1080" w:hanging="532"/>
        <w:spacing w:after="0" w:line="25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Officer’s Certificate stating that the deposit was not made by the Issuers with the intent of defeating, hindering, delaying, defrauding or preferring any creditors of the Issuers;</w:t>
      </w:r>
    </w:p>
    <w:p>
      <w:pPr>
        <w:spacing w:after="0" w:line="75"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89"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Opinion of Counsel to the effect that the trust resulting from the deposit does not constitute, or is qualified as, a regulated investment company under the U.S. Investment Company Act of 1940;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Issuers deliver to the Trustee all other documents or other information that the Trustee may reasonably require in connection with either defeasance option.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An Indenture will be discharged and cease to be of further effect (except as to surviving rights of conversion or transfer or exchange of the Notes, as expressly provided for in such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applicable Indenture with respect to the Notes of such series; and</w:t>
      </w:r>
    </w:p>
    <w:p>
      <w:pPr>
        <w:spacing w:after="0" w:line="4" w:lineRule="exact"/>
        <w:rPr>
          <w:sz w:val="20"/>
          <w:szCs w:val="20"/>
          <w:color w:val="auto"/>
        </w:rPr>
      </w:pPr>
    </w:p>
    <w:p>
      <w:pPr>
        <w:ind w:left="120" w:right="100" w:hanging="4"/>
        <w:spacing w:after="0" w:line="277" w:lineRule="auto"/>
        <w:tabs>
          <w:tab w:leader="none" w:pos="37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Issuers have delivered to the Trustee an Officer’s Certificate and an Opinion of Counsel each to the effect that all conditions precedent under the applicable Indenture relating to the satisfaction and discharge of such Indenture have been complied with, provided that any such counsel may rely on any Officer’s Certificate as to matters of fact (including as to compliance with the foregoing clauses (1), (2) and (3)).</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Shareholders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No director, officer, employee, incorporator or shareholder of any of the Parent, any Issuer or any of their respective Subsidiaries or Affiliates, as such, shall have any liability for any obligations of any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 and Certain Agents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Deutsche Bank Trust Company Americas has been appointed as Trustee under each of the Indentures. Each Indenture provides that, except during the continuance of an Event of Default, the Trustee will perform only such duties as are set forth specifically in the Indentures. During the existence of an Event of Default, the Trustee will exercise such of the rights and powers vested in it under each Indenture and use the same degree of care that a prudent Person would use in conducting its own affairs. The permissive rights of the Trustee to take or refrain from taking any action enumerated in each Indenture will not be construed as an obligation or duty.</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Indentures impose certain limitations on the rights of the Trustee, should it become a creditor of any Issuer, to obtain payment of claims in certain cases, or to realize on certain property received in respect of any such claim as security or otherwise. The Trustee will be permitted to engage in other transactions with any Issuer and its Affiliates and Subsidiaries.</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Indentures set out the terms under which the Trustee may retire or be removed, and replaced. Such terms will include, among others, (1) 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 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removal or resignation of the Trustee shall not become effective until the acceptance of appointment by the successor Trustee.</w:t>
      </w:r>
    </w:p>
    <w:p>
      <w:pPr>
        <w:spacing w:after="0" w:line="225"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Indentures contain provisions for the indemnification of the Trustee for any loss, liability, taxes and expenses incurred without negligence, willful misconduct or bad faith on its part, arising out of or in connection with the acceptance or administration of each Indenture.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Each such notice shall be deemed to have been given on the date of such publication or, if published more than once on different dates, on the first date on which publication is made; provided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Indemnity and Calculation of Dollar-Denominated Restrictions</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 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otherwise specifically set forth herein, for purposes of determining compliance with any dollar- denominated restriction herein, the Dollar Equivalent amount for purposes hereof that is denominated in a non-dollar currency shall be calculated based on the relevant currency exchange rate in effect on the date such non-dollar amount is Incurred or made, as the case may be.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Judgments</w:t>
      </w:r>
    </w:p>
    <w:p>
      <w:pPr>
        <w:spacing w:after="0" w:line="121"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Since a substantial portion of the assets of the Issuers are held by Subsidiaries located outside the United States, any judgment obtained in the United States against any Issuer, including judgments with respect to the payment of principal, premium, if any, interest, Additional Amounts, if any, and any redemption price and any purchase price with respect to the Notes, may not be collectable within the United States.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Consent to Jurisdiction and Service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relation to any legal action or proceedings arising out of or in connection with an Indenture and the applicable Notes, the Issuers in each Indenture irrevocably submit to the jurisdiction of the federal and state courts in the Borough of Manhattan in the City of New York, County and State of New York,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Indentures and the Notes, including any Note Guarantees thereunder, and the rights and duties of the parties thereunder are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Liens</w:t>
      </w:r>
      <w:r>
        <w:rPr>
          <w:rFonts w:ascii="Arial" w:cs="Arial" w:eastAsia="Arial" w:hAnsi="Arial"/>
          <w:sz w:val="18"/>
          <w:szCs w:val="18"/>
          <w:color w:val="auto"/>
        </w:rPr>
        <w:t>”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applicable Indenture compounded semi-annually) of the obligations of the lessee for rental payments during the term of the related lease.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“Below Investment Grade Rating Event” </w:t>
      </w:r>
      <w:r>
        <w:rPr>
          <w:rFonts w:ascii="Arial" w:cs="Arial" w:eastAsia="Arial" w:hAnsi="Arial"/>
          <w:sz w:val="16"/>
          <w:szCs w:val="16"/>
          <w:color w:val="auto"/>
        </w:rPr>
        <w:t>means, with respect to the Notes of a series, the rating on such series of Notes is lowered in respect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w:t>
      </w:r>
    </w:p>
    <w:p>
      <w:pPr>
        <w:spacing w:after="0" w:line="16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(1) with respect to the Parent, the Company or any corporation, the board of directors or managers, as applicable,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9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each day that is not a Saturday, Sunday or other day on which banking institutions in London, United Kingdom, or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New York, United States are authorized or required by law to close; provided, however, that for any payments to be made under the applicable Indenture, such day shall also be a day on which the second generation Trans-European Automated Real-time Gross Settlement Express Transfer (</w:t>
      </w:r>
      <w:r>
        <w:rPr>
          <w:rFonts w:ascii="Arial" w:cs="Arial" w:eastAsia="Arial" w:hAnsi="Arial"/>
          <w:sz w:val="18"/>
          <w:szCs w:val="18"/>
          <w:i w:val="1"/>
          <w:iCs w:val="1"/>
          <w:color w:val="auto"/>
        </w:rPr>
        <w:t>“TARGET2”</w:t>
      </w:r>
      <w:r>
        <w:rPr>
          <w:rFonts w:ascii="Arial" w:cs="Arial" w:eastAsia="Arial" w:hAnsi="Arial"/>
          <w:sz w:val="18"/>
          <w:szCs w:val="18"/>
          <w:color w:val="auto"/>
        </w:rPr>
        <w:t>) payment system is open for the settlement of payments.</w:t>
      </w:r>
    </w:p>
    <w:p>
      <w:pPr>
        <w:spacing w:after="0" w:line="18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of any Person means any and all shares of, rights to purchase, warrants or options for, or other equivalents of or partnership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interests in (however designated), equity of such Person, including any Preferred Stock, but excluding any debt securities convertible into such equity.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w:t>
      </w:r>
    </w:p>
    <w:p>
      <w:pPr>
        <w:spacing w:after="0" w:line="131" w:lineRule="exact"/>
        <w:rPr>
          <w:sz w:val="20"/>
          <w:szCs w:val="20"/>
          <w:color w:val="auto"/>
        </w:rPr>
      </w:pPr>
    </w:p>
    <w:p>
      <w:pPr>
        <w:ind w:left="1080" w:right="100" w:hanging="532"/>
        <w:spacing w:after="0" w:line="269"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consummation of any transaction (including, without limitation, any merger or consolidation) resulting in any </w:t>
      </w:r>
      <w:r>
        <w:rPr>
          <w:rFonts w:ascii="Arial" w:cs="Arial" w:eastAsia="Arial" w:hAnsi="Arial"/>
          <w:sz w:val="17"/>
          <w:szCs w:val="17"/>
          <w:i w:val="1"/>
          <w:iCs w:val="1"/>
          <w:color w:val="auto"/>
        </w:rPr>
        <w:t>“</w:t>
      </w:r>
      <w:r>
        <w:rPr>
          <w:rFonts w:ascii="Arial" w:cs="Arial" w:eastAsia="Arial" w:hAnsi="Arial"/>
          <w:sz w:val="17"/>
          <w:szCs w:val="17"/>
          <w:color w:val="auto"/>
        </w:rPr>
        <w:t>person</w:t>
      </w:r>
      <w:r>
        <w:rPr>
          <w:rFonts w:ascii="Arial" w:cs="Arial" w:eastAsia="Arial" w:hAnsi="Arial"/>
          <w:sz w:val="17"/>
          <w:szCs w:val="17"/>
          <w:i w:val="1"/>
          <w:iCs w:val="1"/>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w:t>
      </w:r>
      <w:r>
        <w:rPr>
          <w:rFonts w:ascii="Arial" w:cs="Arial" w:eastAsia="Arial" w:hAnsi="Arial"/>
          <w:sz w:val="17"/>
          <w:szCs w:val="17"/>
          <w:color w:val="auto"/>
        </w:rPr>
        <w:t>group</w:t>
      </w:r>
      <w:r>
        <w:rPr>
          <w:rFonts w:ascii="Arial" w:cs="Arial" w:eastAsia="Arial" w:hAnsi="Arial"/>
          <w:sz w:val="17"/>
          <w:szCs w:val="17"/>
          <w:i w:val="1"/>
          <w:iCs w:val="1"/>
          <w:color w:val="auto"/>
        </w:rPr>
        <w:t>”</w:t>
      </w:r>
      <w:r>
        <w:rPr>
          <w:rFonts w:ascii="Arial" w:cs="Arial" w:eastAsia="Arial" w:hAnsi="Arial"/>
          <w:sz w:val="17"/>
          <w:szCs w:val="17"/>
          <w:color w:val="auto"/>
        </w:rPr>
        <w:t xml:space="preserve"> of related persons (as such terms are used in Sections 13(d) and 14(d) of the U.S. Exchange Act) becoming the </w:t>
      </w:r>
      <w:r>
        <w:rPr>
          <w:rFonts w:ascii="Arial" w:cs="Arial" w:eastAsia="Arial" w:hAnsi="Arial"/>
          <w:sz w:val="17"/>
          <w:szCs w:val="17"/>
          <w:i w:val="1"/>
          <w:iCs w:val="1"/>
          <w:color w:val="auto"/>
        </w:rPr>
        <w:t>“</w:t>
      </w:r>
      <w:r>
        <w:rPr>
          <w:rFonts w:ascii="Arial" w:cs="Arial" w:eastAsia="Arial" w:hAnsi="Arial"/>
          <w:sz w:val="17"/>
          <w:szCs w:val="17"/>
          <w:color w:val="auto"/>
        </w:rPr>
        <w:t>beneficial owner</w:t>
      </w:r>
      <w:r>
        <w:rPr>
          <w:rFonts w:ascii="Arial" w:cs="Arial" w:eastAsia="Arial" w:hAnsi="Arial"/>
          <w:sz w:val="17"/>
          <w:szCs w:val="17"/>
          <w:i w:val="1"/>
          <w:iCs w:val="1"/>
          <w:color w:val="auto"/>
        </w:rPr>
        <w:t>”</w:t>
      </w:r>
      <w:r>
        <w:rPr>
          <w:rFonts w:ascii="Arial" w:cs="Arial" w:eastAsia="Arial" w:hAnsi="Arial"/>
          <w:sz w:val="17"/>
          <w:szCs w:val="17"/>
          <w:color w:val="auto"/>
        </w:rPr>
        <w:t xml:space="preserve"> (as such term is used in Rules 13d-3 and 13d-5 under the U.S. Exchange Act) of more than 50% of the Voting Stock of the Company (or its successor); provided, however, that a transaction will not be deemed to involve a Change of Control under this clause (1) if (x) the Company becomes 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s Voting Stock immediately prior to that transaction or (ii) immediately following that transaction no </w:t>
      </w:r>
      <w:r>
        <w:rPr>
          <w:rFonts w:ascii="Arial" w:cs="Arial" w:eastAsia="Arial" w:hAnsi="Arial"/>
          <w:sz w:val="17"/>
          <w:szCs w:val="17"/>
          <w:i w:val="1"/>
          <w:iCs w:val="1"/>
          <w:color w:val="auto"/>
        </w:rPr>
        <w:t>“</w:t>
      </w:r>
      <w:r>
        <w:rPr>
          <w:rFonts w:ascii="Arial" w:cs="Arial" w:eastAsia="Arial" w:hAnsi="Arial"/>
          <w:sz w:val="17"/>
          <w:szCs w:val="17"/>
          <w:color w:val="auto"/>
        </w:rPr>
        <w:t>person</w:t>
      </w:r>
      <w:r>
        <w:rPr>
          <w:rFonts w:ascii="Arial" w:cs="Arial" w:eastAsia="Arial" w:hAnsi="Arial"/>
          <w:sz w:val="17"/>
          <w:szCs w:val="17"/>
          <w:i w:val="1"/>
          <w:iCs w:val="1"/>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w:t>
      </w:r>
      <w:r>
        <w:rPr>
          <w:rFonts w:ascii="Arial" w:cs="Arial" w:eastAsia="Arial" w:hAnsi="Arial"/>
          <w:sz w:val="17"/>
          <w:szCs w:val="17"/>
          <w:color w:val="auto"/>
        </w:rPr>
        <w:t>group</w:t>
      </w:r>
      <w:r>
        <w:rPr>
          <w:rFonts w:ascii="Arial" w:cs="Arial" w:eastAsia="Arial" w:hAnsi="Arial"/>
          <w:sz w:val="17"/>
          <w:szCs w:val="17"/>
          <w:i w:val="1"/>
          <w:iCs w:val="1"/>
          <w:color w:val="auto"/>
        </w:rPr>
        <w:t>”</w:t>
      </w:r>
      <w:r>
        <w:rPr>
          <w:rFonts w:ascii="Arial" w:cs="Arial" w:eastAsia="Arial" w:hAnsi="Arial"/>
          <w:sz w:val="17"/>
          <w:szCs w:val="17"/>
          <w:color w:val="auto"/>
        </w:rPr>
        <w:t xml:space="preserve"> of related persons (other than a holding company (including the Parent) satisfying the requirements of this sentence) is the beneficial owner, directly or indirectly, of more than 50% of the Voting Stock of such holding company (including the Parent);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w:t>
      </w:r>
      <w:r>
        <w:rPr>
          <w:rFonts w:ascii="Arial" w:cs="Arial" w:eastAsia="Arial" w:hAnsi="Arial"/>
          <w:sz w:val="18"/>
          <w:szCs w:val="18"/>
          <w:i w:val="1"/>
          <w:iCs w:val="1"/>
          <w:color w:val="auto"/>
        </w:rPr>
        <w:t>’</w:t>
      </w:r>
      <w:r>
        <w:rPr>
          <w:rFonts w:ascii="Arial" w:cs="Arial" w:eastAsia="Arial" w:hAnsi="Arial"/>
          <w:sz w:val="18"/>
          <w:szCs w:val="18"/>
          <w:color w:val="auto"/>
        </w:rPr>
        <w:t>s Voting Stock outstanding immediately prior to such transaction constitute, or are converted into or exchanged for, a majority of the Voting Stock of the surviving Person or parent entity thereof immediately after giving effect to such transaction.</w:t>
      </w:r>
    </w:p>
    <w:p>
      <w:pPr>
        <w:spacing w:after="0" w:line="19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with respect to a series of Notes, the occurrence of a Change of Control together with a Below</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Rating Event.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at any date, the total assets appearing on the Parent</w:t>
      </w:r>
      <w:r>
        <w:rPr>
          <w:rFonts w:ascii="Arial" w:cs="Arial" w:eastAsia="Arial" w:hAnsi="Arial"/>
          <w:sz w:val="18"/>
          <w:szCs w:val="18"/>
          <w:i w:val="1"/>
          <w:iCs w:val="1"/>
          <w:color w:val="auto"/>
        </w:rPr>
        <w:t>’</w:t>
      </w:r>
      <w:r>
        <w:rPr>
          <w:rFonts w:ascii="Arial" w:cs="Arial" w:eastAsia="Arial" w:hAnsi="Arial"/>
          <w:sz w:val="18"/>
          <w:szCs w:val="18"/>
          <w:color w:val="auto"/>
        </w:rPr>
        <w:t>s most recent consolidated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GAAP, less all current liabilities as shown on such balance sheet, and Intangible Assets.</w:t>
      </w:r>
    </w:p>
    <w:p>
      <w:pPr>
        <w:spacing w:after="0" w:line="170"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means, with respect to the Company or any of its Subsidiaries, one or more debt facilities, indentures or other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the Revolving Credit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Revolving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w:t>
      </w:r>
      <w:r>
        <w:rPr>
          <w:rFonts w:ascii="Arial" w:cs="Arial" w:eastAsia="Arial" w:hAnsi="Arial"/>
          <w:sz w:val="16"/>
          <w:szCs w:val="16"/>
          <w:i w:val="1"/>
          <w:iCs w:val="1"/>
          <w:color w:val="auto"/>
        </w:rPr>
        <w:t>“</w:t>
      </w:r>
      <w:r>
        <w:rPr>
          <w:rFonts w:ascii="Arial" w:cs="Arial" w:eastAsia="Arial" w:hAnsi="Arial"/>
          <w:sz w:val="16"/>
          <w:szCs w:val="16"/>
          <w:color w:val="auto"/>
        </w:rPr>
        <w:t>Credit Facility</w:t>
      </w:r>
      <w:r>
        <w:rPr>
          <w:rFonts w:ascii="Arial" w:cs="Arial" w:eastAsia="Arial" w:hAnsi="Arial"/>
          <w:sz w:val="16"/>
          <w:szCs w:val="16"/>
          <w:i w:val="1"/>
          <w:iCs w:val="1"/>
          <w:color w:val="auto"/>
        </w:rPr>
        <w:t>”</w:t>
      </w:r>
      <w:r>
        <w:rPr>
          <w:rFonts w:ascii="Arial" w:cs="Arial" w:eastAsia="Arial" w:hAnsi="Arial"/>
          <w:sz w:val="16"/>
          <w:szCs w:val="16"/>
          <w:color w:val="auto"/>
        </w:rPr>
        <w:t xml:space="preserve"> shall include any agreement or instrument (1) changing the maturity of any Indebtedness Incurred thereunder or contemplated thereby, (2) adding Subsidiaries of the Company as additional borrowers or guarantors thereunder,</w:t>
      </w:r>
    </w:p>
    <w:p>
      <w:pPr>
        <w:spacing w:after="0" w:line="3" w:lineRule="exact"/>
        <w:rPr>
          <w:sz w:val="20"/>
          <w:szCs w:val="20"/>
          <w:color w:val="auto"/>
        </w:rPr>
      </w:pPr>
    </w:p>
    <w:p>
      <w:pPr>
        <w:ind w:left="120" w:right="80" w:hanging="4"/>
        <w:spacing w:after="0" w:line="260"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increasing the amount of Indebtedness Incurred thereunder or available to be borrowed thereunder or (4) otherwise altering the terms and conditions thereof.</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is, or after notice or passage of time or both would be, an Event of Default.</w:t>
      </w:r>
    </w:p>
    <w:p>
      <w:pPr>
        <w:spacing w:after="0" w:line="22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i w:val="1"/>
          <w:iCs w:val="1"/>
          <w:color w:val="auto"/>
        </w:rPr>
        <w:t xml:space="preserve">“Dollar Equivalent” </w:t>
      </w:r>
      <w:r>
        <w:rPr>
          <w:rFonts w:ascii="Arial" w:cs="Arial" w:eastAsia="Arial" w:hAnsi="Arial"/>
          <w:sz w:val="17"/>
          <w:szCs w:val="17"/>
          <w:color w:val="auto"/>
        </w:rPr>
        <w:t>means, with respect to any monetary amount in a currency other than dollar, at any time of determination thereof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or the Trustee, the amount of dollar obtained by converting such currency other than dollar involved in such computation into dollar at the spot rate for the purchase of dollar with the applicable currency other than dollar as published in The Financial Times in the </w:t>
      </w:r>
      <w:r>
        <w:rPr>
          <w:rFonts w:ascii="Arial" w:cs="Arial" w:eastAsia="Arial" w:hAnsi="Arial"/>
          <w:sz w:val="17"/>
          <w:szCs w:val="17"/>
          <w:i w:val="1"/>
          <w:iCs w:val="1"/>
          <w:color w:val="auto"/>
        </w:rPr>
        <w:t>“</w:t>
      </w:r>
      <w:r>
        <w:rPr>
          <w:rFonts w:ascii="Arial" w:cs="Arial" w:eastAsia="Arial" w:hAnsi="Arial"/>
          <w:sz w:val="17"/>
          <w:szCs w:val="17"/>
          <w:color w:val="auto"/>
        </w:rPr>
        <w:t>Currency Rates</w:t>
      </w:r>
      <w:r>
        <w:rPr>
          <w:rFonts w:ascii="Arial" w:cs="Arial" w:eastAsia="Arial" w:hAnsi="Arial"/>
          <w:sz w:val="17"/>
          <w:szCs w:val="17"/>
          <w:i w:val="1"/>
          <w:iCs w:val="1"/>
          <w:color w:val="auto"/>
        </w:rPr>
        <w:t>”</w:t>
      </w:r>
      <w:r>
        <w:rPr>
          <w:rFonts w:ascii="Arial" w:cs="Arial" w:eastAsia="Arial" w:hAnsi="Arial"/>
          <w:sz w:val="17"/>
          <w:szCs w:val="17"/>
          <w:color w:val="auto"/>
        </w:rPr>
        <w:t xml:space="preserve"> section (or, if The Financial Times is no longer published, or if such information is no longer available in The Financial Times, such source as may be selected in good faith by an Officer or the Board of Directors) on the date of such determination.</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may be conclusively established by means of an Officer</w:t>
      </w:r>
      <w:r>
        <w:rPr>
          <w:rFonts w:ascii="Arial" w:cs="Arial" w:eastAsia="Arial" w:hAnsi="Arial"/>
          <w:sz w:val="18"/>
          <w:szCs w:val="18"/>
          <w:i w:val="1"/>
          <w:iCs w:val="1"/>
          <w:color w:val="auto"/>
        </w:rPr>
        <w:t>’</w:t>
      </w:r>
      <w:r>
        <w:rPr>
          <w:rFonts w:ascii="Arial" w:cs="Arial" w:eastAsia="Arial" w:hAnsi="Arial"/>
          <w:sz w:val="18"/>
          <w:szCs w:val="18"/>
          <w:color w:val="auto"/>
        </w:rPr>
        <w:t>s Certificate or a resolution of the Board of Directors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setting out such fair market value as determined by such Officer or such Board of Directors in good faith.</w:t>
      </w:r>
    </w:p>
    <w:p>
      <w:pPr>
        <w:spacing w:after="0" w:line="170"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Ratings Limited or any of its successors or assigns that is a Nationally Recognized Statistical Rating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“GAAP” </w:t>
      </w:r>
      <w:r>
        <w:rPr>
          <w:rFonts w:ascii="Arial" w:cs="Arial" w:eastAsia="Arial" w:hAnsi="Arial"/>
          <w:sz w:val="17"/>
          <w:szCs w:val="17"/>
          <w:color w:val="auto"/>
        </w:rPr>
        <w:t>means generally accepted accounting principles in the United States of America as in effect on the date of any calculation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required hereunder. Except as otherwise set forth in the applicable Indenture, all ratios and calculations based on GAAP contained in the applicable Indenture shall be computed in accordance with GAAP. At any time after the Issue Date, the Company may elect to establish that GAAP shall mean the GAAP as in effect on or prior to the date of such election, provided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applicable Indenture), including as to the ability of the Company to make an election pursuant to the previous sentence; provided that any such election, once made, shall be irrevocable; provided, further, that any calculation or determination in the applicable Indenture that require the application of GAAP for periods that include fiscal quarters ended prior to the Company</w:t>
      </w:r>
      <w:r>
        <w:rPr>
          <w:rFonts w:ascii="Arial" w:cs="Arial" w:eastAsia="Arial" w:hAnsi="Arial"/>
          <w:sz w:val="17"/>
          <w:szCs w:val="17"/>
          <w:i w:val="1"/>
          <w:iCs w:val="1"/>
          <w:color w:val="auto"/>
        </w:rPr>
        <w:t>’</w:t>
      </w:r>
      <w:r>
        <w:rPr>
          <w:rFonts w:ascii="Arial" w:cs="Arial" w:eastAsia="Arial" w:hAnsi="Arial"/>
          <w:sz w:val="17"/>
          <w:szCs w:val="17"/>
          <w:color w:val="auto"/>
        </w:rPr>
        <w:t>s election to apply IFRS shall remain as previously calculated or determined in accordance with GAAP; provided, further again, that the Company may only make such election if it also elects to report any subsequent financial reports required to be made by the Company, including pursuant to Section 13 or Section 15(d) of the U.S. Exchange Act, in IFRS. The Company shall give notice of any such election made in accordance with this definition to the Trustee and the Holders.</w:t>
      </w:r>
    </w:p>
    <w:p>
      <w:pPr>
        <w:spacing w:after="0" w:line="17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nation, sovereign or government, any state, province, territory or other political subdivision thereof,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entity or authority exercising executive, legislative, judicial, regulatory, self-regulatory or administrative functions of or pertaining to government, including a central bank or stock exchange.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“Guarantee” </w:t>
      </w:r>
      <w:r>
        <w:rPr>
          <w:rFonts w:ascii="Arial" w:cs="Arial" w:eastAsia="Arial" w:hAnsi="Arial"/>
          <w:sz w:val="17"/>
          <w:szCs w:val="17"/>
          <w:color w:val="auto"/>
        </w:rPr>
        <w:t>means any obligation, contingent or otherwise, of any Person directly or indirectly guaranteeing any Indebtedness of any other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 including any such obligation, direct or indirect, contingent or otherwise, of such Person:</w:t>
      </w:r>
    </w:p>
    <w:p>
      <w:pPr>
        <w:spacing w:after="0" w:line="116" w:lineRule="exact"/>
        <w:rPr>
          <w:sz w:val="20"/>
          <w:szCs w:val="20"/>
          <w:color w:val="auto"/>
        </w:rPr>
      </w:pPr>
    </w:p>
    <w:p>
      <w:pPr>
        <w:ind w:left="1080" w:right="20" w:hanging="532"/>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of such other Person (whether arising by virtue of partnership arrangements, or by agreements to keep- well, to purchase assets, goods, securities or services, to take-or-pay or to maintain financial statement conditions or otherwise); or</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provided, however, that the term </w:t>
      </w:r>
      <w:r>
        <w:rPr>
          <w:rFonts w:ascii="Arial" w:cs="Arial" w:eastAsia="Arial" w:hAnsi="Arial"/>
          <w:sz w:val="18"/>
          <w:szCs w:val="18"/>
          <w:i w:val="1"/>
          <w:iCs w:val="1"/>
          <w:color w:val="auto"/>
        </w:rPr>
        <w:t>“</w:t>
      </w:r>
      <w:r>
        <w:rPr>
          <w:rFonts w:ascii="Arial" w:cs="Arial" w:eastAsia="Arial" w:hAnsi="Arial"/>
          <w:sz w:val="18"/>
          <w:szCs w:val="18"/>
          <w:color w:val="auto"/>
        </w:rPr>
        <w:t>Guarantee</w:t>
      </w:r>
      <w:r>
        <w:rPr>
          <w:rFonts w:ascii="Arial" w:cs="Arial" w:eastAsia="Arial" w:hAnsi="Arial"/>
          <w:sz w:val="18"/>
          <w:szCs w:val="18"/>
          <w:i w:val="1"/>
          <w:iCs w:val="1"/>
          <w:color w:val="auto"/>
        </w:rPr>
        <w:t>”</w:t>
      </w:r>
      <w:r>
        <w:rPr>
          <w:rFonts w:ascii="Arial" w:cs="Arial" w:eastAsia="Arial" w:hAnsi="Arial"/>
          <w:sz w:val="18"/>
          <w:szCs w:val="18"/>
          <w:color w:val="auto"/>
        </w:rPr>
        <w:t xml:space="preserve"> will not include endorsements for collection or deposit in the ordinary course of business. The term </w:t>
      </w:r>
      <w:r>
        <w:rPr>
          <w:rFonts w:ascii="Arial" w:cs="Arial" w:eastAsia="Arial" w:hAnsi="Arial"/>
          <w:sz w:val="18"/>
          <w:szCs w:val="18"/>
          <w:i w:val="1"/>
          <w:iCs w:val="1"/>
          <w:color w:val="auto"/>
        </w:rPr>
        <w:t xml:space="preserve">“Guarantee” </w:t>
      </w:r>
      <w:r>
        <w:rPr>
          <w:rFonts w:ascii="Arial" w:cs="Arial" w:eastAsia="Arial" w:hAnsi="Arial"/>
          <w:sz w:val="18"/>
          <w:szCs w:val="18"/>
          <w:color w:val="auto"/>
        </w:rPr>
        <w:t>used as a verb has a corresponding meaning.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“Guarantor” </w:t>
      </w:r>
      <w:r>
        <w:rPr>
          <w:rFonts w:ascii="Arial" w:cs="Arial" w:eastAsia="Arial" w:hAnsi="Arial"/>
          <w:sz w:val="18"/>
          <w:szCs w:val="18"/>
          <w:color w:val="auto"/>
        </w:rPr>
        <w:t>means the Parent and any Subsidiary of the Parent that Guarantees the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“Holder” </w:t>
      </w:r>
      <w:r>
        <w:rPr>
          <w:rFonts w:ascii="Arial" w:cs="Arial" w:eastAsia="Arial" w:hAnsi="Arial"/>
          <w:sz w:val="16"/>
          <w:szCs w:val="16"/>
          <w:color w:val="auto"/>
        </w:rPr>
        <w:t>means each Person in whose name the Notes are registered on the Registrar</w:t>
      </w:r>
      <w:r>
        <w:rPr>
          <w:rFonts w:ascii="Arial" w:cs="Arial" w:eastAsia="Arial" w:hAnsi="Arial"/>
          <w:sz w:val="16"/>
          <w:szCs w:val="16"/>
          <w:i w:val="1"/>
          <w:iCs w:val="1"/>
          <w:color w:val="auto"/>
        </w:rPr>
        <w:t>’</w:t>
      </w:r>
      <w:r>
        <w:rPr>
          <w:rFonts w:ascii="Arial" w:cs="Arial" w:eastAsia="Arial" w:hAnsi="Arial"/>
          <w:sz w:val="16"/>
          <w:szCs w:val="16"/>
          <w:color w:val="auto"/>
        </w:rPr>
        <w:t>s books, which shall initially be the respective nominee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w:t>
      </w:r>
    </w:p>
    <w:p>
      <w:pPr>
        <w:spacing w:after="0" w:line="21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 xml:space="preserve">“Incur” </w:t>
      </w:r>
      <w:r>
        <w:rPr>
          <w:rFonts w:ascii="Arial" w:cs="Arial" w:eastAsia="Arial" w:hAnsi="Arial"/>
          <w:sz w:val="18"/>
          <w:szCs w:val="18"/>
          <w:color w:val="auto"/>
        </w:rPr>
        <w:t>means issue, create, assume, enter into any Guarantee of, incur, extend or otherwise become liable for; and the terms</w:t>
      </w:r>
      <w:r>
        <w:rPr>
          <w:rFonts w:ascii="Arial" w:cs="Arial" w:eastAsia="Arial" w:hAnsi="Arial"/>
          <w:sz w:val="18"/>
          <w:szCs w:val="18"/>
          <w:i w:val="1"/>
          <w:iCs w:val="1"/>
          <w:color w:val="auto"/>
        </w:rPr>
        <w:t xml:space="preserve"> “Incurred” </w:t>
      </w:r>
      <w:r>
        <w:rPr>
          <w:rFonts w:ascii="Arial" w:cs="Arial" w:eastAsia="Arial" w:hAnsi="Arial"/>
          <w:sz w:val="18"/>
          <w:szCs w:val="18"/>
          <w:color w:val="auto"/>
        </w:rPr>
        <w:t>and</w:t>
      </w:r>
      <w:r>
        <w:rPr>
          <w:rFonts w:ascii="Arial" w:cs="Arial" w:eastAsia="Arial" w:hAnsi="Arial"/>
          <w:sz w:val="18"/>
          <w:szCs w:val="18"/>
          <w:i w:val="1"/>
          <w:iCs w:val="1"/>
          <w:color w:val="auto"/>
        </w:rPr>
        <w:t xml:space="preserve"> “Incurrence” </w:t>
      </w:r>
      <w:r>
        <w:rPr>
          <w:rFonts w:ascii="Arial" w:cs="Arial" w:eastAsia="Arial" w:hAnsi="Arial"/>
          <w:sz w:val="18"/>
          <w:szCs w:val="18"/>
          <w:color w:val="auto"/>
        </w:rPr>
        <w:t>have meanings correlative to the foregoing and any Indebtedness pursuant to any revolving credit or similar facility shall only be</w:t>
      </w:r>
      <w:r>
        <w:rPr>
          <w:rFonts w:ascii="Arial" w:cs="Arial" w:eastAsia="Arial" w:hAnsi="Arial"/>
          <w:sz w:val="18"/>
          <w:szCs w:val="18"/>
          <w:i w:val="1"/>
          <w:iCs w:val="1"/>
          <w:color w:val="auto"/>
        </w:rPr>
        <w:t xml:space="preserve"> “Incurred” </w:t>
      </w:r>
      <w:r>
        <w:rPr>
          <w:rFonts w:ascii="Arial" w:cs="Arial" w:eastAsia="Arial" w:hAnsi="Arial"/>
          <w:sz w:val="18"/>
          <w:szCs w:val="18"/>
          <w:color w:val="auto"/>
        </w:rPr>
        <w:t>at the time any funds are borrowed thereunder.</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with respect to any Person on any date of determination (without duplication), (a) indebtedness of such Person for</w:t>
      </w:r>
      <w:r>
        <w:rPr>
          <w:rFonts w:ascii="Arial" w:cs="Arial" w:eastAsia="Arial" w:hAnsi="Arial"/>
          <w:sz w:val="18"/>
          <w:szCs w:val="18"/>
          <w:i w:val="1"/>
          <w:iCs w:val="1"/>
          <w:color w:val="auto"/>
        </w:rPr>
        <w:t xml:space="preserve"> </w:t>
      </w:r>
      <w:r>
        <w:rPr>
          <w:rFonts w:ascii="Arial" w:cs="Arial" w:eastAsia="Arial" w:hAnsi="Arial"/>
          <w:sz w:val="18"/>
          <w:szCs w:val="18"/>
          <w:color w:val="auto"/>
        </w:rPr>
        <w:t>borrowed 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applicable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w:t>
      </w:r>
    </w:p>
    <w:p>
      <w:pPr>
        <w:spacing w:after="0" w:line="80" w:lineRule="exact"/>
        <w:rPr>
          <w:sz w:val="20"/>
          <w:szCs w:val="20"/>
          <w:color w:val="auto"/>
        </w:rPr>
      </w:pPr>
    </w:p>
    <w:p>
      <w:pPr>
        <w:ind w:left="1760" w:hanging="252"/>
        <w:spacing w:after="0"/>
        <w:tabs>
          <w:tab w:leader="none" w:pos="1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w:t>
      </w:r>
    </w:p>
    <w:p>
      <w:pPr>
        <w:spacing w:after="0" w:line="117" w:lineRule="exact"/>
        <w:rPr>
          <w:rFonts w:ascii="Arial" w:cs="Arial" w:eastAsia="Arial" w:hAnsi="Arial"/>
          <w:sz w:val="18"/>
          <w:szCs w:val="18"/>
          <w:color w:val="auto"/>
        </w:rPr>
      </w:pPr>
    </w:p>
    <w:p>
      <w:pPr>
        <w:ind w:left="1100" w:firstLine="408"/>
        <w:spacing w:after="0" w:line="301" w:lineRule="auto"/>
        <w:tabs>
          <w:tab w:leader="none" w:pos="17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connection with the purchase by a Person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 or</w:t>
      </w:r>
    </w:p>
    <w:p>
      <w:pPr>
        <w:spacing w:after="0" w:line="49" w:lineRule="exact"/>
        <w:rPr>
          <w:rFonts w:ascii="Arial" w:cs="Arial" w:eastAsia="Arial" w:hAnsi="Arial"/>
          <w:sz w:val="16"/>
          <w:szCs w:val="16"/>
          <w:color w:val="auto"/>
        </w:rPr>
      </w:pPr>
    </w:p>
    <w:p>
      <w:pPr>
        <w:ind w:left="1100" w:right="400" w:firstLine="408"/>
        <w:spacing w:after="0" w:line="342" w:lineRule="auto"/>
        <w:tabs>
          <w:tab w:leader="none" w:pos="17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Indentures</w:t>
      </w:r>
      <w:r>
        <w:rPr>
          <w:rFonts w:ascii="Arial" w:cs="Arial" w:eastAsia="Arial" w:hAnsi="Arial"/>
          <w:sz w:val="16"/>
          <w:szCs w:val="16"/>
          <w:color w:val="auto"/>
        </w:rPr>
        <w:t>” means the the 2026/2029 Indenture, the 2025/2027/2030 Indenture, the 2031/2041 Indenture, and the 2032/2041/2051 Indenture.</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Intangible Assets</w:t>
      </w:r>
      <w:r>
        <w:rPr>
          <w:rFonts w:ascii="Arial" w:cs="Arial" w:eastAsia="Arial" w:hAnsi="Arial"/>
          <w:sz w:val="18"/>
          <w:szCs w:val="18"/>
          <w:color w:val="auto"/>
        </w:rPr>
        <w:t>” means the value (net of applicable reserves), as shown on or reflected in the Parent’s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(iv)unamortized debt discount and expenses, less unamortized premium.</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8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 Date</w:t>
      </w:r>
      <w:r>
        <w:rPr>
          <w:rFonts w:ascii="Arial" w:cs="Arial" w:eastAsia="Arial" w:hAnsi="Arial"/>
          <w:sz w:val="16"/>
          <w:szCs w:val="16"/>
          <w:color w:val="auto"/>
        </w:rPr>
        <w:t>” means with respect to (i) the 2026 Notes and the 2029 Notes, June 18, 2019, (ii) the 2025 Notes, the 2027 Notes and the 2030 Notes, May 1, 2020, (iii) the 2031 Notes and the 2041 Notes, May 11, 2021, and (iv) the 2032 Notes, the 2041 Notes and the 2051 Notes, November 30, 2021.</w:t>
      </w:r>
    </w:p>
    <w:p>
      <w:pPr>
        <w:spacing w:after="0" w:line="12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w:t>
      </w:r>
    </w:p>
    <w:p>
      <w:pPr>
        <w:spacing w:after="0" w:line="170"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of its successors or assigns that is a Nationally Recognized Statistical Rating Organization.</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Nationally Recognized Statistical Rating Organization</w:t>
      </w:r>
      <w:r>
        <w:rPr>
          <w:rFonts w:ascii="Arial" w:cs="Arial" w:eastAsia="Arial" w:hAnsi="Arial"/>
          <w:sz w:val="18"/>
          <w:szCs w:val="18"/>
          <w:color w:val="auto"/>
        </w:rPr>
        <w:t>” means a nationally recognized statistical rating organization within the meaning of Section 3(a)(62) of the U.S. Exchange 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Documents</w:t>
      </w:r>
      <w:r>
        <w:rPr>
          <w:rFonts w:ascii="Arial" w:cs="Arial" w:eastAsia="Arial" w:hAnsi="Arial"/>
          <w:sz w:val="18"/>
          <w:szCs w:val="18"/>
          <w:color w:val="auto"/>
        </w:rPr>
        <w:t>” means the Notes (including Additional Notes) and the applicable Indenture.</w:t>
      </w:r>
    </w:p>
    <w:p>
      <w:pPr>
        <w:spacing w:after="0" w:line="22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Arial" w:cs="Arial" w:eastAsia="Arial" w:hAnsi="Arial"/>
          <w:sz w:val="18"/>
          <w:szCs w:val="18"/>
          <w:i w:val="1"/>
          <w:iCs w:val="1"/>
          <w:color w:val="auto"/>
        </w:rPr>
        <w:t>Officer</w:t>
      </w:r>
      <w:r>
        <w:rPr>
          <w:rFonts w:ascii="Arial" w:cs="Arial" w:eastAsia="Arial" w:hAnsi="Arial"/>
          <w:sz w:val="18"/>
          <w:szCs w:val="18"/>
          <w:color w:val="auto"/>
        </w:rPr>
        <w:t>” for the purposes of the applicable Indenture by the Board of Directors of such Person.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with respect to any Person, a certificate signed by one Officer of such Person.</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reasonably satisfactory to the Trustee. The legal counsel may be an employee of or counsel to the Parent or its Subsidiaries.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NXP Semiconductors N.V. or any successor thereto. “</w:t>
      </w:r>
      <w:r>
        <w:rPr>
          <w:rFonts w:ascii="Arial" w:cs="Arial" w:eastAsia="Arial" w:hAnsi="Arial"/>
          <w:sz w:val="18"/>
          <w:szCs w:val="18"/>
          <w:i w:val="1"/>
          <w:iCs w:val="1"/>
          <w:color w:val="auto"/>
        </w:rPr>
        <w:t>Permitted Lien</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1080" w:hanging="532"/>
        <w:spacing w:after="0" w:line="29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provided, however, that such Liens are not created, Incurred or assumed in anticipation of or in connection with such other Person becoming a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71" w:lineRule="exact"/>
        <w:rPr>
          <w:rFonts w:ascii="Arial" w:cs="Arial" w:eastAsia="Arial" w:hAnsi="Arial"/>
          <w:sz w:val="16"/>
          <w:szCs w:val="16"/>
          <w:color w:val="auto"/>
        </w:rPr>
      </w:pPr>
    </w:p>
    <w:p>
      <w:pPr>
        <w:ind w:left="1080" w:right="700" w:hanging="532"/>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Liens on assets or property of the Company or any Subsidiary securing Indebtedness or other obligations of the Company or such Subsidiary owing to the Company or another Subsidiary, or Liens in favor of the Company or any Subsidiary;</w:t>
      </w:r>
    </w:p>
    <w:p>
      <w:pPr>
        <w:spacing w:after="0" w:line="51"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securing Refinancing Indebtedness Incurred to refinance Indebtedness that was previously permitted to be secured under the applicable Indenture;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Liens on assets or property of the Company or any Subsidiary securing hedging obligations; and</w:t>
      </w:r>
    </w:p>
    <w:p>
      <w:pPr>
        <w:spacing w:after="0" w:line="130"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other Liens (including successive extensions, renewals, alterations or replacements thereof) not excepted by clauses (1) through (3) above, provided that after giving effect thereto the aggregate principal amount of the Secured Indebtedness of the Company and its Significant Subsidiaries secured by such Liens does not exceed the greater of (A) $1,250 million and (B) 15% of the Consolidated Net Tangible Assets, in each case after giving effect to such Incurrence and the application of the proceeds therefrom.</w:t>
      </w:r>
    </w:p>
    <w:p>
      <w:pPr>
        <w:spacing w:after="0" w:line="17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liability company, government or any agency or political subdivision thereof or any other entity.</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applied to the Capital Stock of any Person, means Capital Stock of any class or classes (however designated)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as to the payment of dividends or as to the distribution of assets upon any voluntary or involuntary liquidation or dissolution of such Person, over shares of Capital Stock of any other class of such Person.</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property, plant and equipment owned by the Company or any Significant Subsidiary, provided that the book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property is an amount greater than 1.00% of Consolidated Net Tangible Assets.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“Rating Agencies” </w:t>
      </w:r>
      <w:r>
        <w:rPr>
          <w:rFonts w:ascii="Arial" w:cs="Arial" w:eastAsia="Arial" w:hAnsi="Arial"/>
          <w:sz w:val="18"/>
          <w:szCs w:val="18"/>
          <w:color w:val="auto"/>
        </w:rPr>
        <w:t>means each of Moody</w:t>
      </w:r>
      <w:r>
        <w:rPr>
          <w:rFonts w:ascii="Arial" w:cs="Arial" w:eastAsia="Arial" w:hAnsi="Arial"/>
          <w:sz w:val="18"/>
          <w:szCs w:val="18"/>
          <w:i w:val="1"/>
          <w:iCs w:val="1"/>
          <w:color w:val="auto"/>
        </w:rPr>
        <w:t>’</w:t>
      </w:r>
      <w:r>
        <w:rPr>
          <w:rFonts w:ascii="Arial" w:cs="Arial" w:eastAsia="Arial" w:hAnsi="Arial"/>
          <w:sz w:val="18"/>
          <w:szCs w:val="18"/>
          <w:color w:val="auto"/>
        </w:rPr>
        <w:t>s, S&amp;P and Fitch or any of their respective successors, provided that, if any of Moody</w:t>
      </w:r>
      <w:r>
        <w:rPr>
          <w:rFonts w:ascii="Arial" w:cs="Arial" w:eastAsia="Arial" w:hAnsi="Arial"/>
          <w:sz w:val="18"/>
          <w:szCs w:val="18"/>
          <w:i w:val="1"/>
          <w:iCs w:val="1"/>
          <w:color w:val="auto"/>
        </w:rPr>
        <w:t>’</w:t>
      </w:r>
      <w:r>
        <w:rPr>
          <w:rFonts w:ascii="Arial" w:cs="Arial" w:eastAsia="Arial" w:hAnsi="Arial"/>
          <w:sz w:val="18"/>
          <w:szCs w:val="18"/>
          <w:color w:val="auto"/>
        </w:rPr>
        <w:t>s, S&amp;P and Fitch</w:t>
      </w:r>
      <w:r>
        <w:rPr>
          <w:rFonts w:ascii="Arial" w:cs="Arial" w:eastAsia="Arial" w:hAnsi="Arial"/>
          <w:sz w:val="18"/>
          <w:szCs w:val="18"/>
          <w:i w:val="1"/>
          <w:iCs w:val="1"/>
          <w:color w:val="auto"/>
        </w:rPr>
        <w:t xml:space="preserve"> </w:t>
      </w:r>
      <w:r>
        <w:rPr>
          <w:rFonts w:ascii="Arial" w:cs="Arial" w:eastAsia="Arial" w:hAnsi="Arial"/>
          <w:sz w:val="18"/>
          <w:szCs w:val="18"/>
          <w:color w:val="auto"/>
        </w:rPr>
        <w:t>or all of them shall cease rating the Notes (for reasons outside the control of the Company), the Company shall select any other Nationally Recognized Statistical Rating Organization.</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“Refinance” </w:t>
      </w:r>
      <w:r>
        <w:rPr>
          <w:rFonts w:ascii="Arial" w:cs="Arial" w:eastAsia="Arial" w:hAnsi="Arial"/>
          <w:sz w:val="18"/>
          <w:szCs w:val="18"/>
          <w:color w:val="auto"/>
        </w:rPr>
        <w:t>means refinance, refund, replace, renew, repay, modify, restate, defer, substitute, supplement, reissue, resell, extend or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pursuant to any defeasance or discharge mechanism) and the terms </w:t>
      </w:r>
      <w:r>
        <w:rPr>
          <w:rFonts w:ascii="Arial" w:cs="Arial" w:eastAsia="Arial" w:hAnsi="Arial"/>
          <w:sz w:val="18"/>
          <w:szCs w:val="18"/>
          <w:i w:val="1"/>
          <w:iCs w:val="1"/>
          <w:color w:val="auto"/>
        </w:rPr>
        <w:t>“</w:t>
      </w:r>
      <w:r>
        <w:rPr>
          <w:rFonts w:ascii="Arial" w:cs="Arial" w:eastAsia="Arial" w:hAnsi="Arial"/>
          <w:sz w:val="18"/>
          <w:szCs w:val="18"/>
          <w:color w:val="auto"/>
        </w:rPr>
        <w:t>refinances,</w:t>
      </w:r>
      <w:r>
        <w:rPr>
          <w:rFonts w:ascii="Arial" w:cs="Arial" w:eastAsia="Arial" w:hAnsi="Arial"/>
          <w:sz w:val="18"/>
          <w:szCs w:val="18"/>
          <w:i w:val="1"/>
          <w:iCs w:val="1"/>
          <w:color w:val="auto"/>
        </w:rPr>
        <w:t>” “</w:t>
      </w:r>
      <w:r>
        <w:rPr>
          <w:rFonts w:ascii="Arial" w:cs="Arial" w:eastAsia="Arial" w:hAnsi="Arial"/>
          <w:sz w:val="18"/>
          <w:szCs w:val="18"/>
          <w:color w:val="auto"/>
        </w:rPr>
        <w:t>refinanced</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w:t>
      </w:r>
      <w:r>
        <w:rPr>
          <w:rFonts w:ascii="Arial" w:cs="Arial" w:eastAsia="Arial" w:hAnsi="Arial"/>
          <w:sz w:val="18"/>
          <w:szCs w:val="18"/>
          <w:color w:val="auto"/>
        </w:rPr>
        <w:t>refinancing</w:t>
      </w:r>
      <w:r>
        <w:rPr>
          <w:rFonts w:ascii="Arial" w:cs="Arial" w:eastAsia="Arial" w:hAnsi="Arial"/>
          <w:sz w:val="18"/>
          <w:szCs w:val="18"/>
          <w:i w:val="1"/>
          <w:iCs w:val="1"/>
          <w:color w:val="auto"/>
        </w:rPr>
        <w:t>”</w:t>
      </w:r>
      <w:r>
        <w:rPr>
          <w:rFonts w:ascii="Arial" w:cs="Arial" w:eastAsia="Arial" w:hAnsi="Arial"/>
          <w:sz w:val="18"/>
          <w:szCs w:val="18"/>
          <w:color w:val="auto"/>
        </w:rPr>
        <w:t xml:space="preserve"> as used for any purpose in the applicable Indenture shall have a correlative meaning.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“Refinancing Indebtedness” </w:t>
      </w:r>
      <w:r>
        <w:rPr>
          <w:rFonts w:ascii="Arial" w:cs="Arial" w:eastAsia="Arial" w:hAnsi="Arial"/>
          <w:sz w:val="18"/>
          <w:szCs w:val="18"/>
          <w:color w:val="auto"/>
        </w:rPr>
        <w:t>means Indebtedness that is Incurred to refund, refinance, replace, exchange, renew, repay or extend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any defeasance or discharge mechanism) any Indebtedness existing on the date of the applicable Indenture or Incurred in compliance with the applicable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provided, however, that:</w:t>
      </w:r>
    </w:p>
    <w:p>
      <w:pPr>
        <w:spacing w:after="0" w:line="93" w:lineRule="exact"/>
        <w:rPr>
          <w:sz w:val="20"/>
          <w:szCs w:val="20"/>
          <w:color w:val="auto"/>
        </w:rPr>
      </w:pPr>
    </w:p>
    <w:p>
      <w:pPr>
        <w:ind w:left="108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w:t>
      </w:r>
    </w:p>
    <w:p>
      <w:pPr>
        <w:spacing w:after="0" w:line="89" w:lineRule="exact"/>
        <w:rPr>
          <w:rFonts w:ascii="Arial" w:cs="Arial" w:eastAsia="Arial" w:hAnsi="Arial"/>
          <w:sz w:val="18"/>
          <w:szCs w:val="18"/>
          <w:color w:val="auto"/>
        </w:rPr>
      </w:pPr>
    </w:p>
    <w:p>
      <w:pPr>
        <w:ind w:left="1080" w:right="160" w:hanging="532"/>
        <w:spacing w:after="0" w:line="25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93" w:lineRule="exact"/>
        <w:rPr>
          <w:rFonts w:ascii="Arial" w:cs="Arial" w:eastAsia="Arial" w:hAnsi="Arial"/>
          <w:sz w:val="18"/>
          <w:szCs w:val="18"/>
          <w:color w:val="auto"/>
        </w:rPr>
      </w:pPr>
    </w:p>
    <w:p>
      <w:pPr>
        <w:ind w:left="1080" w:right="72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provided, however, that Refinancing Indebtedness in respect of any Credit Facility or any other Indebtedness may be Incurred from time to time after the termination, discharge or repayment of any such Credit Facility or other Indebtedness.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“Revolving Credit Agreement” </w:t>
      </w:r>
      <w:r>
        <w:rPr>
          <w:rFonts w:ascii="Arial" w:cs="Arial" w:eastAsia="Arial" w:hAnsi="Arial"/>
          <w:sz w:val="16"/>
          <w:szCs w:val="16"/>
          <w:color w:val="auto"/>
        </w:rPr>
        <w:t>means the revolving credit agreement entered into on June 11, 2019 by, among others, the Company and NXP</w:t>
      </w:r>
      <w:r>
        <w:rPr>
          <w:rFonts w:ascii="Arial" w:cs="Arial" w:eastAsia="Arial" w:hAnsi="Arial"/>
          <w:sz w:val="16"/>
          <w:szCs w:val="16"/>
          <w:i w:val="1"/>
          <w:iCs w:val="1"/>
          <w:color w:val="auto"/>
        </w:rPr>
        <w:t xml:space="preserve"> </w:t>
      </w:r>
      <w:r>
        <w:rPr>
          <w:rFonts w:ascii="Arial" w:cs="Arial" w:eastAsia="Arial" w:hAnsi="Arial"/>
          <w:sz w:val="16"/>
          <w:szCs w:val="16"/>
          <w:color w:val="auto"/>
        </w:rPr>
        <w:t>Funding, as borrowers, Barclays Bank PLC, as administrative agent, the lenders and letter of credit issuers from time to time party thereto, and the other parties thereto, as may be amended, supplemented or otherwise modified from time to time, and any Refinancing Indebtedness in respect thereto.</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w:t>
      </w:r>
      <w:r>
        <w:rPr>
          <w:rFonts w:ascii="Arial" w:cs="Arial" w:eastAsia="Arial" w:hAnsi="Arial"/>
          <w:sz w:val="18"/>
          <w:szCs w:val="18"/>
          <w:i w:val="1"/>
          <w:iCs w:val="1"/>
          <w:color w:val="auto"/>
        </w:rPr>
        <w:t>’</w:t>
      </w:r>
      <w:r>
        <w:rPr>
          <w:rFonts w:ascii="Arial" w:cs="Arial" w:eastAsia="Arial" w:hAnsi="Arial"/>
          <w:sz w:val="18"/>
          <w:szCs w:val="18"/>
          <w:color w:val="auto"/>
        </w:rPr>
        <w:t>s Investors Ratings Services or any of its successors or assigns that is a Nationally Recognized Statistical Rating</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i w:val="1"/>
          <w:iCs w:val="1"/>
          <w:color w:val="auto"/>
        </w:rPr>
        <w:t xml:space="preserve">“Sale and Leaseback Transaction” </w:t>
      </w:r>
      <w:r>
        <w:rPr>
          <w:rFonts w:ascii="Arial" w:cs="Arial" w:eastAsia="Arial" w:hAnsi="Arial"/>
          <w:sz w:val="18"/>
          <w:szCs w:val="18"/>
          <w:color w:val="auto"/>
        </w:rPr>
        <w:t>means an arrangement relating to any Principal Property owned by the Company or a Significant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Issue Date or thereafter acquired by the Company or a Significant Subsidiary whereby the Company or a Significant Subsidiary transfers such property to a Person and the Company or a Significant Subsidiary leases it from such Person.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U.S. Securities and Exchange Commission or any successor thereto.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“Secured Indebtedness” </w:t>
      </w:r>
      <w:r>
        <w:rPr>
          <w:rFonts w:ascii="Arial" w:cs="Arial" w:eastAsia="Arial" w:hAnsi="Arial"/>
          <w:sz w:val="18"/>
          <w:szCs w:val="18"/>
          <w:color w:val="auto"/>
        </w:rPr>
        <w:t>means any Indebtedness secured by a Lien and any Attributable Lien.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“Significant Subsidiary” </w:t>
      </w:r>
      <w:r>
        <w:rPr>
          <w:rFonts w:ascii="Arial" w:cs="Arial" w:eastAsia="Arial" w:hAnsi="Arial"/>
          <w:sz w:val="18"/>
          <w:szCs w:val="18"/>
          <w:color w:val="auto"/>
        </w:rPr>
        <w:t>means any Subsidiary that meets any of the following conditions:</w:t>
      </w:r>
    </w:p>
    <w:p>
      <w:pPr>
        <w:spacing w:after="0" w:line="131" w:lineRule="exact"/>
        <w:rPr>
          <w:sz w:val="20"/>
          <w:szCs w:val="20"/>
          <w:color w:val="auto"/>
        </w:rPr>
      </w:pPr>
    </w:p>
    <w:p>
      <w:pPr>
        <w:ind w:left="1080" w:right="2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w:t>
      </w:r>
      <w:r>
        <w:rPr>
          <w:rFonts w:ascii="Arial" w:cs="Arial" w:eastAsia="Arial" w:hAnsi="Arial"/>
          <w:sz w:val="18"/>
          <w:szCs w:val="18"/>
          <w:i w:val="1"/>
          <w:iCs w:val="1"/>
          <w:color w:val="auto"/>
        </w:rPr>
        <w:t>’</w:t>
      </w:r>
      <w:r>
        <w:rPr>
          <w:rFonts w:ascii="Arial" w:cs="Arial" w:eastAsia="Arial" w:hAnsi="Arial"/>
          <w:sz w:val="18"/>
          <w:szCs w:val="18"/>
          <w:color w:val="auto"/>
        </w:rPr>
        <w:t>s and its Subsidiaries</w:t>
      </w:r>
      <w:r>
        <w:rPr>
          <w:rFonts w:ascii="Arial" w:cs="Arial" w:eastAsia="Arial" w:hAnsi="Arial"/>
          <w:sz w:val="18"/>
          <w:szCs w:val="18"/>
          <w:i w:val="1"/>
          <w:iCs w:val="1"/>
          <w:color w:val="auto"/>
        </w:rPr>
        <w:t>’</w:t>
      </w:r>
      <w:r>
        <w:rPr>
          <w:rFonts w:ascii="Arial" w:cs="Arial" w:eastAsia="Arial" w:hAnsi="Arial"/>
          <w:sz w:val="18"/>
          <w:szCs w:val="18"/>
          <w:color w:val="auto"/>
        </w:rPr>
        <w:t xml:space="preserve"> investments in and advances to the Subsidiary exceed 10% of the Total Assets of the Parent and its Subsidiaries on a consolidated basis as of the end of the most recently completed fiscal year;</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w:t>
      </w:r>
      <w:r>
        <w:rPr>
          <w:rFonts w:ascii="Arial" w:cs="Arial" w:eastAsia="Arial" w:hAnsi="Arial"/>
          <w:sz w:val="18"/>
          <w:szCs w:val="18"/>
          <w:i w:val="1"/>
          <w:iCs w:val="1"/>
          <w:color w:val="auto"/>
        </w:rPr>
        <w:t>’</w:t>
      </w:r>
      <w:r>
        <w:rPr>
          <w:rFonts w:ascii="Arial" w:cs="Arial" w:eastAsia="Arial" w:hAnsi="Arial"/>
          <w:sz w:val="18"/>
          <w:szCs w:val="18"/>
          <w:color w:val="auto"/>
        </w:rPr>
        <w:t>s and its Subsidiaries</w:t>
      </w:r>
      <w:r>
        <w:rPr>
          <w:rFonts w:ascii="Arial" w:cs="Arial" w:eastAsia="Arial" w:hAnsi="Arial"/>
          <w:sz w:val="18"/>
          <w:szCs w:val="18"/>
          <w:i w:val="1"/>
          <w:iCs w:val="1"/>
          <w:color w:val="auto"/>
        </w:rPr>
        <w:t>’</w:t>
      </w:r>
      <w:r>
        <w:rPr>
          <w:rFonts w:ascii="Arial" w:cs="Arial" w:eastAsia="Arial" w:hAnsi="Arial"/>
          <w:sz w:val="18"/>
          <w:szCs w:val="18"/>
          <w:color w:val="auto"/>
        </w:rPr>
        <w:t xml:space="preserve"> proportionate share of the Total Assets (after intercompany eliminations) of the Subsidiary exceeds 10% of the Total Assets of the Parent and its Subsidiaries on a consolidated basis as of the end of the most recently completed fiscal year;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w:t>
      </w:r>
      <w:r>
        <w:rPr>
          <w:rFonts w:ascii="Arial" w:cs="Arial" w:eastAsia="Arial" w:hAnsi="Arial"/>
          <w:sz w:val="18"/>
          <w:szCs w:val="18"/>
          <w:i w:val="1"/>
          <w:iCs w:val="1"/>
          <w:color w:val="auto"/>
        </w:rPr>
        <w:t>’</w:t>
      </w:r>
      <w:r>
        <w:rPr>
          <w:rFonts w:ascii="Arial" w:cs="Arial" w:eastAsia="Arial" w:hAnsi="Arial"/>
          <w:sz w:val="18"/>
          <w:szCs w:val="18"/>
          <w:color w:val="auto"/>
        </w:rPr>
        <w:t>s and its Subsidiaries</w:t>
      </w:r>
      <w:r>
        <w:rPr>
          <w:rFonts w:ascii="Arial" w:cs="Arial" w:eastAsia="Arial" w:hAnsi="Arial"/>
          <w:sz w:val="18"/>
          <w:szCs w:val="18"/>
          <w:i w:val="1"/>
          <w:iCs w:val="1"/>
          <w:color w:val="auto"/>
        </w:rPr>
        <w:t>’</w:t>
      </w:r>
      <w:r>
        <w:rPr>
          <w:rFonts w:ascii="Arial" w:cs="Arial" w:eastAsia="Arial" w:hAnsi="Arial"/>
          <w:sz w:val="18"/>
          <w:szCs w:val="18"/>
          <w:color w:val="auto"/>
        </w:rPr>
        <w:t xml:space="preserve"> equity in the income from continuing operations before income taxes, extraordinary items and cumulative effect of a change in accounting principle of the Subsidiary exclusive of any amounts attributable to any non-controlling interests exceeds 10% of such income of the Company and its Subsidiaries on a consolidated basis for the most recently completed fiscal year.</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 xml:space="preserve">“Stated Maturity” </w:t>
      </w:r>
      <w:r>
        <w:rPr>
          <w:rFonts w:ascii="Arial" w:cs="Arial" w:eastAsia="Arial" w:hAnsi="Arial"/>
          <w:sz w:val="16"/>
          <w:szCs w:val="16"/>
          <w:color w:val="auto"/>
        </w:rPr>
        <w:t>means, with respect to any indebtedness or security, the date specified in such indebtedness or security as the fixed date on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4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“Subordinated Indebtedness” </w:t>
      </w:r>
      <w:r>
        <w:rPr>
          <w:rFonts w:ascii="Arial" w:cs="Arial" w:eastAsia="Arial" w:hAnsi="Arial"/>
          <w:sz w:val="18"/>
          <w:szCs w:val="18"/>
          <w:color w:val="auto"/>
        </w:rPr>
        <w:t>means, with respect to any Person, any Indebtedness (whether outstanding on the Issue Date or thereafter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expressly subordinated in right of payment to the Notes pursuant to a written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with respect to any Person:</w:t>
      </w:r>
    </w:p>
    <w:p>
      <w:pPr>
        <w:spacing w:after="0" w:line="131" w:lineRule="exact"/>
        <w:rPr>
          <w:sz w:val="20"/>
          <w:szCs w:val="20"/>
          <w:color w:val="auto"/>
        </w:rPr>
      </w:pPr>
    </w:p>
    <w:p>
      <w:pPr>
        <w:ind w:left="1080" w:right="20" w:hanging="532"/>
        <w:spacing w:after="0" w:line="279"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or similar entity of which:</w:t>
      </w:r>
    </w:p>
    <w:p>
      <w:pPr>
        <w:spacing w:after="0" w:line="117" w:lineRule="exact"/>
        <w:rPr>
          <w:rFonts w:ascii="Arial" w:cs="Arial" w:eastAsia="Arial" w:hAnsi="Arial"/>
          <w:sz w:val="18"/>
          <w:szCs w:val="18"/>
          <w:color w:val="auto"/>
        </w:rPr>
      </w:pPr>
    </w:p>
    <w:p>
      <w:pPr>
        <w:ind w:left="1100" w:right="360" w:firstLine="408"/>
        <w:spacing w:after="0" w:line="311" w:lineRule="auto"/>
        <w:tabs>
          <w:tab w:leader="none" w:pos="1745" w:val="left"/>
        </w:tabs>
        <w:numPr>
          <w:ilvl w:val="1"/>
          <w:numId w:val="81"/>
        </w:numPr>
        <w:rPr>
          <w:rFonts w:ascii="Arial" w:cs="Arial" w:eastAsia="Arial" w:hAnsi="Arial"/>
          <w:sz w:val="16"/>
          <w:szCs w:val="16"/>
          <w:color w:val="auto"/>
        </w:rPr>
      </w:pPr>
      <w:r>
        <w:rPr>
          <w:rFonts w:ascii="Arial" w:cs="Arial" w:eastAsia="Arial" w:hAnsi="Arial"/>
          <w:sz w:val="16"/>
          <w:szCs w:val="16"/>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such Person or any Subsidiary of such Person is a controlling general partner or otherwise controls such entity.</w:t>
      </w:r>
    </w:p>
    <w:p>
      <w:pPr>
        <w:spacing w:after="0" w:line="225"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means all present and future taxes, levies, imposts, deductions, charges, duties, assessments and withholdings and any charges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nature (including interest, penalties and other liabilities with respect thereto) that are imposed or levied by any government or other taxing authority.</w:t>
      </w:r>
    </w:p>
    <w:p>
      <w:pPr>
        <w:spacing w:after="0" w:line="184" w:lineRule="exact"/>
        <w:rPr>
          <w:sz w:val="20"/>
          <w:szCs w:val="20"/>
          <w:color w:val="auto"/>
        </w:rPr>
      </w:pPr>
    </w:p>
    <w:p>
      <w:pPr>
        <w:jc w:val="both"/>
        <w:ind w:left="120" w:right="520" w:firstLine="440"/>
        <w:spacing w:after="0" w:line="277"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means the consolidated total assets of the Parent and its Subsidiaries in accordance with GAAP as shown on the most recent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of the Parent.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“Treasury Rate” </w:t>
      </w:r>
      <w:r>
        <w:rPr>
          <w:rFonts w:ascii="Arial" w:cs="Arial" w:eastAsia="Arial" w:hAnsi="Arial"/>
          <w:sz w:val="16"/>
          <w:szCs w:val="16"/>
          <w:color w:val="auto"/>
        </w:rPr>
        <w:t>means the yield to maturity at the time of computation of United States Treasury securities with a constant maturity (as compiled</w:t>
      </w:r>
      <w:r>
        <w:rPr>
          <w:rFonts w:ascii="Arial" w:cs="Arial" w:eastAsia="Arial" w:hAnsi="Arial"/>
          <w:sz w:val="16"/>
          <w:szCs w:val="16"/>
          <w:i w:val="1"/>
          <w:iCs w:val="1"/>
          <w:color w:val="auto"/>
        </w:rPr>
        <w:t xml:space="preserve"> </w:t>
      </w:r>
      <w:r>
        <w:rPr>
          <w:rFonts w:ascii="Arial" w:cs="Arial" w:eastAsia="Arial" w:hAnsi="Arial"/>
          <w:sz w:val="16"/>
          <w:szCs w:val="16"/>
          <w:color w:val="auto"/>
        </w:rPr>
        <w:t>and published in the most recent Federal Reserve Statistical Release H.15 (519) which has become publicly available at least two Business Days (but not more than five Business Days) prior to the redemption date (or, if such statistical release is not so published or available, any publicly available source of similar market data selected by an Officer or the Board of Directors in good faith)) most nearly equal to the period from the redemption date to:</w:t>
      </w:r>
    </w:p>
    <w:p>
      <w:pPr>
        <w:spacing w:after="0" w:line="63"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April 1, 2025 (the date one month prior to the maturity date of the 2025 Notes), with regard to the 2025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April 18, 2026 (the date two months prior to the maturity date of the 2026 Notes), with regard to the 2026 Notes;</w:t>
      </w:r>
    </w:p>
    <w:p>
      <w:pPr>
        <w:spacing w:after="0" w:line="130" w:lineRule="exact"/>
        <w:rPr>
          <w:rFonts w:ascii="Arial" w:cs="Arial" w:eastAsia="Arial" w:hAnsi="Arial"/>
          <w:sz w:val="18"/>
          <w:szCs w:val="18"/>
          <w:color w:val="auto"/>
        </w:rPr>
      </w:pPr>
    </w:p>
    <w:p>
      <w:pPr>
        <w:ind w:left="5540" w:right="1680" w:hanging="4884"/>
        <w:spacing w:after="0" w:line="449" w:lineRule="auto"/>
        <w:tabs>
          <w:tab w:leader="none" w:pos="13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March 1, 2027 (the date two months prior to the maturity date of the 2027 Notes), with regard to the 2027 Notes; 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March 18, 2029 (the date three months prior to the maturity date of the 2029 Notes), with regard to the 2029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February 1, 2030 (the date three months prior to the maturity date of the 2030 Notes), with regard to the 2030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February 11, 2031 (the date three months prior to the maturity date of the 2031 Notes), with regard to the 2031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November 15, 2031 (the date three months prior to the maturity date of the 2032 Notes), with regard to the 2032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November 11, 2040 (the date six months prior to the maturity date of the 2041 Notes), with regard to the 2041 Notes;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August 15, 2041 (the date six months prior to the maturity date of the 2042 Notes), with regard to the 2042 Notes; or</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May 30, 2051 (the date six months prior to the maturity date of the 2051 Notes), with regard to the 2051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period from the redemption date to:</w:t>
      </w:r>
    </w:p>
    <w:p>
      <w:pPr>
        <w:spacing w:after="0" w:line="117" w:lineRule="exact"/>
        <w:rPr>
          <w:sz w:val="20"/>
          <w:szCs w:val="20"/>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April 1, 2025 (the date one month prior to the maturity date of the 2025 Notes), with regard to the 2025 Notes;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April 18, 2026 (the date two months prior to the maturity date of the 2026 Notes), with regard to the 2026 Notes;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March 1, 2027 (the date two months prior to the maturity date of the 2027 Notes), with regard to the 2027 Notes;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March 18, 2029 (the date three months prior to the maturity date of the 2029 Notes), with regard to the 2029 Notes;</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February 1, 2030 (the date months prior to the maturity date of the 2030 Notes), with regard to the 2030 Notes;</w:t>
      </w:r>
    </w:p>
    <w:p>
      <w:pPr>
        <w:spacing w:after="0" w:line="117" w:lineRule="exact"/>
        <w:rPr>
          <w:rFonts w:ascii="Arial" w:cs="Arial" w:eastAsia="Arial" w:hAnsi="Arial"/>
          <w:sz w:val="18"/>
          <w:szCs w:val="18"/>
          <w:color w:val="auto"/>
        </w:rPr>
      </w:pPr>
    </w:p>
    <w:p>
      <w:pPr>
        <w:ind w:left="1740" w:hanging="232"/>
        <w:spacing w:after="0"/>
        <w:tabs>
          <w:tab w:leader="none" w:pos="17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February 11, 2031 (the date three months prior to the maturity date of the 2031 Notes), with regard to the 2031 Notes;</w:t>
      </w:r>
    </w:p>
    <w:p>
      <w:pPr>
        <w:spacing w:after="0" w:line="128" w:lineRule="exact"/>
        <w:rPr>
          <w:rFonts w:ascii="Arial" w:cs="Arial" w:eastAsia="Arial" w:hAnsi="Arial"/>
          <w:sz w:val="17"/>
          <w:szCs w:val="17"/>
          <w:color w:val="auto"/>
        </w:rPr>
      </w:pPr>
    </w:p>
    <w:p>
      <w:pPr>
        <w:ind w:left="1760" w:hanging="252"/>
        <w:spacing w:after="0"/>
        <w:tabs>
          <w:tab w:leader="none" w:pos="17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November 15, 2031 (the date three months prior to the maturity date of the 2032 Notes), with regard to the 2032 Notes;</w:t>
      </w:r>
    </w:p>
    <w:p>
      <w:pPr>
        <w:spacing w:after="0" w:line="128" w:lineRule="exact"/>
        <w:rPr>
          <w:rFonts w:ascii="Arial" w:cs="Arial" w:eastAsia="Arial" w:hAnsi="Arial"/>
          <w:sz w:val="17"/>
          <w:szCs w:val="17"/>
          <w:color w:val="auto"/>
        </w:rPr>
      </w:pPr>
    </w:p>
    <w:p>
      <w:pPr>
        <w:ind w:left="1760" w:hanging="252"/>
        <w:spacing w:after="0"/>
        <w:tabs>
          <w:tab w:leader="none" w:pos="17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November 11, 2040 (the date six months prior to the maturity date of the 2041 Notes), with regard to the 2041 Notes</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August 15, 2041 (the date six months prior to the maturity date of the 2042 Notes), with regard to the 2042 Notes; or</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30, 2051 (the date six months prior to the maturity date of the 2051 Notes), with regard to the 2051 Notes,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“Uniform Commercial Code” </w:t>
      </w:r>
      <w:r>
        <w:rPr>
          <w:rFonts w:ascii="Arial" w:cs="Arial" w:eastAsia="Arial" w:hAnsi="Arial"/>
          <w:sz w:val="18"/>
          <w:szCs w:val="18"/>
          <w:color w:val="auto"/>
        </w:rPr>
        <w:t>means the New York Uniform Commercial Code.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i w:val="1"/>
          <w:iCs w:val="1"/>
          <w:color w:val="auto"/>
        </w:rPr>
        <w:t xml:space="preserve">“U.S. Government Obligations” </w:t>
      </w:r>
      <w:r>
        <w:rPr>
          <w:rFonts w:ascii="Arial" w:cs="Arial" w:eastAsia="Arial" w:hAnsi="Arial"/>
          <w:sz w:val="17"/>
          <w:szCs w:val="17"/>
          <w:color w:val="auto"/>
        </w:rPr>
        <w:t>means securities that are (1) direct obligations of the United States of America for the timely payment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Company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“U.S. Exchange Act” </w:t>
      </w:r>
      <w:r>
        <w:rPr>
          <w:rFonts w:ascii="Arial" w:cs="Arial" w:eastAsia="Arial" w:hAnsi="Arial"/>
          <w:sz w:val="18"/>
          <w:szCs w:val="18"/>
          <w:color w:val="auto"/>
        </w:rPr>
        <w:t>means the U.S. Securities Exchange Act of 1934, as amended, and the rules and regulations of the SEC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as amended.</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 xml:space="preserve">“U.S. Securities Act” </w:t>
      </w:r>
      <w:r>
        <w:rPr>
          <w:rFonts w:ascii="Arial" w:cs="Arial" w:eastAsia="Arial" w:hAnsi="Arial"/>
          <w:sz w:val="18"/>
          <w:szCs w:val="18"/>
          <w:color w:val="auto"/>
        </w:rPr>
        <w:t>means the U.S. Securities Act of 1933, as amended, and the rules and regulations of the SEC promulgated thereunder,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of a Person means all classes of Capital Stock of such Person then outstanding and normally entitled to vote in the 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w:t>
      </w:r>
    </w:p>
    <w:p>
      <w:pPr>
        <w:spacing w:after="0" w:line="170"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i w:val="1"/>
          <w:iCs w:val="1"/>
          <w:color w:val="auto"/>
        </w:rPr>
        <w:t xml:space="preserve">“Wholly Owned Subsidiary” </w:t>
      </w:r>
      <w:r>
        <w:rPr>
          <w:rFonts w:ascii="Arial" w:cs="Arial" w:eastAsia="Arial" w:hAnsi="Arial"/>
          <w:sz w:val="16"/>
          <w:szCs w:val="16"/>
          <w:color w:val="auto"/>
        </w:rPr>
        <w:t>means a Subsidiary of the Company or the Parent, as applicable, all of the Capital Stock of which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w:t>
      </w:r>
      <w:r>
        <w:rPr>
          <w:rFonts w:ascii="Arial" w:cs="Arial" w:eastAsia="Arial" w:hAnsi="Arial"/>
          <w:sz w:val="16"/>
          <w:szCs w:val="16"/>
          <w:i w:val="1"/>
          <w:iCs w:val="1"/>
          <w:color w:val="auto"/>
        </w:rPr>
        <w:t>’</w:t>
      </w:r>
      <w:r>
        <w:rPr>
          <w:rFonts w:ascii="Arial" w:cs="Arial" w:eastAsia="Arial" w:hAnsi="Arial"/>
          <w:sz w:val="16"/>
          <w:szCs w:val="16"/>
          <w:color w:val="auto"/>
        </w:rPr>
        <w:t xml:space="preserve"> qualifying shares or shares required by any applicable law or regulation to be held by a Person other than the Company or the Parent, as applicable, or another Wholly Owned Subsidiary) is owned by the Company or the Parent, as applicable, or another Wholly Owned Subsidiary.</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2025/2027/2030 Indenture</w:t>
      </w:r>
      <w:r>
        <w:rPr>
          <w:rFonts w:ascii="Arial" w:cs="Arial" w:eastAsia="Arial" w:hAnsi="Arial"/>
          <w:sz w:val="18"/>
          <w:szCs w:val="18"/>
          <w:color w:val="auto"/>
        </w:rPr>
        <w:t>” means the indenture, dated as of May 1, 2020, among the Issuers, the Parent, as guarantor, and Deutsche Bank Trust Company Americas, as Trustee.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2026/2029 Indenture</w:t>
      </w:r>
      <w:r>
        <w:rPr>
          <w:rFonts w:ascii="Arial" w:cs="Arial" w:eastAsia="Arial" w:hAnsi="Arial"/>
          <w:sz w:val="18"/>
          <w:szCs w:val="18"/>
          <w:color w:val="auto"/>
        </w:rPr>
        <w:t>” means the indenture, dated as of June 18, 2019, among the Issuers, the Parent, as guarantor, and Deutsche Bank Trust Company Americas, as Trustee.</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2031/2041 Indenture</w:t>
      </w:r>
      <w:r>
        <w:rPr>
          <w:rFonts w:ascii="Arial" w:cs="Arial" w:eastAsia="Arial" w:hAnsi="Arial"/>
          <w:sz w:val="18"/>
          <w:szCs w:val="18"/>
          <w:color w:val="auto"/>
        </w:rPr>
        <w:t>” means the indenture, dated as of May 11, 2021, among the Issuers, the Parent, as guarantor, and Deutsche Bank Trust Company Americas, as Trustee.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2032/2041/2051 Indenture</w:t>
      </w:r>
      <w:r>
        <w:rPr>
          <w:rFonts w:ascii="Arial" w:cs="Arial" w:eastAsia="Arial" w:hAnsi="Arial"/>
          <w:sz w:val="18"/>
          <w:szCs w:val="18"/>
          <w:color w:val="auto"/>
        </w:rPr>
        <w:t>” means the indenture, dated as of November 30, 2021, among the Issuers, the Parent, as guarantor, and Deutsche Bank Trust Company Americas, as Trustee.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Except as set forth below, the New Notes will be issued in registered, global form in minimum denominations of $2,000 and integral multiples of $1,000 in excess of $2,000. The New Notes initially will be represented by one or more Global Notes . The Global Notes will be deposited upon issuance with the trustee as custodian for DTC, in New York, New York, and registered in the name of DTC or its nominee, in each case, for credit to an account of a direct or indirect participant in DTC as described below.</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Depository Procedures</w:t>
      </w:r>
    </w:p>
    <w:p>
      <w:pPr>
        <w:spacing w:after="0" w:line="121"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following description of the operations and procedures of DTC, Euroclear System (“Euroclear”) and Clearstream Banking, S.A.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“Participants”)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131" w:lineRule="exact"/>
        <w:rPr>
          <w:sz w:val="20"/>
          <w:szCs w:val="20"/>
          <w:color w:val="auto"/>
        </w:rPr>
      </w:pPr>
    </w:p>
    <w:p>
      <w:pPr>
        <w:ind w:left="10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underwriters with portions of the principal amount of the Global Notes; and</w:t>
      </w:r>
    </w:p>
    <w:p>
      <w:pPr>
        <w:spacing w:after="0" w:line="75" w:lineRule="exact"/>
        <w:rPr>
          <w:rFonts w:ascii="Arial" w:cs="Arial" w:eastAsia="Arial" w:hAnsi="Arial"/>
          <w:sz w:val="18"/>
          <w:szCs w:val="18"/>
          <w:color w:val="auto"/>
        </w:rPr>
      </w:pPr>
    </w:p>
    <w:p>
      <w:pPr>
        <w:ind w:left="1080" w:right="40" w:hanging="532"/>
        <w:spacing w:after="0" w:line="269"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w:t>
      </w:r>
    </w:p>
    <w:p>
      <w:pPr>
        <w:spacing w:after="0" w:line="18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88"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Except as described below, owners of an interest in the Global Notes will not have notes registered in their names, will not receive physical delivery of Certificated Notes and will not be considered the registered owners or “holders” thereof under the applicable Indenture for any purpose.</w:t>
      </w:r>
    </w:p>
    <w:p>
      <w:pPr>
        <w:spacing w:after="0" w:line="12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are payable to DTC in its capacity as the registered holder under the applicable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Indenture. Under the terms of the applicable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w:t>
      </w:r>
    </w:p>
    <w:p>
      <w:pPr>
        <w:spacing w:after="0" w:line="71" w:lineRule="exact"/>
        <w:rPr>
          <w:sz w:val="20"/>
          <w:szCs w:val="20"/>
          <w:color w:val="auto"/>
        </w:rPr>
      </w:pPr>
    </w:p>
    <w:p>
      <w:pPr>
        <w:ind w:left="1080" w:right="12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9" w:lineRule="exact"/>
        <w:rPr>
          <w:rFonts w:ascii="Arial" w:cs="Arial" w:eastAsia="Arial" w:hAnsi="Arial"/>
          <w:sz w:val="18"/>
          <w:szCs w:val="18"/>
          <w:color w:val="auto"/>
        </w:rPr>
      </w:pPr>
    </w:p>
    <w:p>
      <w:pPr>
        <w:ind w:left="1080" w:right="20" w:hanging="532"/>
        <w:spacing w:after="0" w:line="270"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other matter relating to the actions and practices of DTC or any of its Participants or Indirect Participants. 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8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Global Note is exchangeable for Certificated Notes in minimum denominations of $2,000 and in integral multiples of $1,000 in excess thereof,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080" w:right="160" w:hanging="532"/>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DTC (a) notifies the Issuers that it is unwilling or unable to continue as depositary for the Global Notes or (b) has ceased to be a clearing agency registered under the Exchange Act and in either event the Issuers fail to appoint a successor depositary within 90 days;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Issuers in their sole discretion determines that such Global Note shall be exchangeable; or</w:t>
      </w:r>
    </w:p>
    <w:p>
      <w:pPr>
        <w:spacing w:after="0" w:line="130" w:lineRule="exact"/>
        <w:rPr>
          <w:rFonts w:ascii="Arial" w:cs="Arial" w:eastAsia="Arial" w:hAnsi="Arial"/>
          <w:sz w:val="18"/>
          <w:szCs w:val="18"/>
          <w:color w:val="auto"/>
        </w:rPr>
      </w:pPr>
    </w:p>
    <w:p>
      <w:pPr>
        <w:ind w:left="1080" w:hanging="532"/>
        <w:spacing w:after="0" w:line="30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there has occurred and is continuing an Event of Default. In addition, beneficial interests in a Global Note may be exchanged for Certificated Notes upon prior written notice given to the Trustee by or on behalf of DTC in accordance with the applicable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12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Certificated Notes may not be exchanged for beneficial interests in any Global Note unless the transferor first delivers to the Trustee a written certificate (in the form provided in the indenture governing the notes) to the effect that such transfer will comply with the appropriate transfer restrictions applicable to such Notes. See </w:t>
      </w:r>
      <w:r>
        <w:rPr>
          <w:rFonts w:ascii="Arial" w:cs="Arial" w:eastAsia="Arial" w:hAnsi="Arial"/>
          <w:sz w:val="18"/>
          <w:szCs w:val="18"/>
          <w:b w:val="1"/>
          <w:bCs w:val="1"/>
          <w:color w:val="auto"/>
        </w:rPr>
        <w:t>“Transfer Restrictions.”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Among Global Notes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 Day Settlement and Payment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Issuers will make payments in respect of the New Notes represented by the Global Notes (including principal, premium, if any, and interest) by wire transfer of immediately available funds to the accounts specified 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New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9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Exchange Offers are not being made to, nor will we accept surrenders of Outstanding Notes for exchange from, holders of Outstanding Notes in any jurisdiction in which the Exchange Offers or the acceptance thereof would not be in compliance with the securities or blue sky laws of such jurisdiction.</w:t>
      </w:r>
    </w:p>
    <w:p>
      <w:pPr>
        <w:spacing w:after="0" w:line="184"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distribution of this prospectus and the offer and sale of the New Notes may be restricted by law in certain jurisdictions. Persons who come into possession of this prospectus or any of the New Notes must inform themselves about and observe any such restrictions. You must comply with all applicable laws and regulations in force in any jurisdiction in which you purchase, offer or sell the New Notes or possess or distribute this prospectus and, in connection with any purchase, offer or sale by you of the New Notes, must obtain any consent, approval or permission required under the laws and regulations in force in any jurisdiction to which you are subject or in which you make such purchase, offer or sale.</w:t>
      </w:r>
    </w:p>
    <w:p>
      <w:pPr>
        <w:spacing w:after="0" w:line="16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reliance on interpretations of the staff of the SEC set forth in no-action letters issued to third parties in similar transactions, we believe that the New Notes issued in the Exchange Offers in exchange for the Outstanding Notes may be offered for resale, resold and otherwise transferred by holders without compliance with the registration and prospectus delivery provisions of the Securities Act, provided that the New Notes are acquired in the ordinary course of each such holder’s business and the holders are not engaged in and do not intend to engage in and have no arrangement or understanding with any person to participate in a distribution (within the meaning of the Securities Act) of New Notes. This position does not apply to any holder that is:</w:t>
      </w:r>
    </w:p>
    <w:p>
      <w:pPr>
        <w:spacing w:after="0" w:line="98"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“affiliate” of the Issuers within the meaning of Rule 405 under the Securities Act;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broker-dealer.</w:t>
      </w:r>
    </w:p>
    <w:p>
      <w:pPr>
        <w:spacing w:after="0" w:line="22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All broker-dealers receiving New Notes in the Exchange Offers are subject to a prospectus delivery requirement with respect to resales of the New Notes. Each broker-dealer receiving New Notes for its own account in the Exchange Offers must represent that the Outstanding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pursuant to the Exchange Offers. However, by so acknowledging and by delivering a prospectus, the participating broker-dealer will not be deemed to admit that it is an “underwriter” within the meaning of the Securities Act. We have agreed that, for a period ending upon the earlier of (i) 180 days after the date of this prospectus or (ii) the date broker-dealers are no longer required to deliver a prospectus in connection with resales, subject to extension under limited circumstances, we will use all commercially reasonable efforts to keep the registration statement relating to the Exchange Offers effective and make this prospectus, as amended or supplemented, available to any broker-dealer for use in connection with such resales. To date, the SEC has taken the position that broker-dealers may use a prospectus such as this one to fulfill their prospectus delivery requirements with respect to resales of New Notes received in an exchange such as the exchanges pursuant to the Exchange Offers, if the Outstanding Notes for which the New Notes were received in the exchange were acquired for their own accounts as a result of market-making or other trading activities.</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not receive any proceeds from any sale of the New Notes by broker-dealers. Broker-dealers acquiring New Notes for their own accounts may sell the New Notes in one or more transactions in the over-the-counter market, in negotiated transactions, through writing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such New Notes.</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Any broker-dealer that held Outstanding Notes acquired for its own account as a result of market-making activities or other trading activities, that received New Notes in the Exchange Offers, and that participates in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distribution of New Notes may be deemed to be an “underwriter” within the meaning of the Securities Act and must deliver a prospectus meeting the requirements of the Securities Act in connection with any resale of the New Notes. Any profit on these resales of New Notes and any commissions or concessions received by a broker-dealer in connection with these resales may be deemed to be underwriting compensation under the Securities Act. By acknowledging that it will deliver and by delivering a prospectus, a broker-dealer will not admit that it is an “underwriter” within the meaning of the Securities Act.</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agreed to pay all expenses incident to our participation in the Exchange Offers, including the reasonable fees and expenses of one counsel for the holders of Outstanding Notes and the initial purchasers, other than commissions or concessions of any broker-dealers and will indemnify holders of the Outstanding Notes, including any broker-dealers, against specified types of liabilities, including liabilities under the Securities Act. We note, however, that in the opinion of the SEC, indemnification against liabilities under federal securities laws is against public policy and may be unenforceable.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Certain legal matters with respect to the New Notes will be passed upon for us by Skadden, Arps, Slate, Meagher &amp; Flom LLP, New York, New York and De Brauw Blackstone Westbroek N.V., special Dutch counsel to NXP.</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320" w:top="459" w:right="6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consolidated financial statements of NXP Semiconductors N.V. appearing in NXP Semiconductors N.V.’s Annual Report (Form 10-K) for the years ended December 31, 2021 and 2020, and for each of the two years in the period ended December 31,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17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consolidated financial statements of NXP Semiconductors N.V. and its subsidiaries for the year ended December 31, 2019, have been incorporated by reference herein and in the registration statement in reliance upon the report of KPMG Accountants N.V., independent registered public accounting firm, incorporated by reference herein, and upon the authority of said firm as experts in accounting and auditing.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lowerRoman"/>
      <w:start w:val="1"/>
    </w:lvl>
  </w:abstractNum>
  <w:abstractNum w:abstractNumId="5">
    <w:nsid w:val="6DE91B18"/>
    <w:multiLevelType w:val="hybridMultilevel"/>
    <w:lvl w:ilvl="0">
      <w:lvlJc w:val="left"/>
      <w:lvlText w:val="(%1)"/>
      <w:numFmt w:val="lowerRoman"/>
      <w:start w:val="1"/>
    </w:lvl>
  </w:abstractNum>
  <w:abstractNum w:abstractNumId="6">
    <w:nsid w:val="38437FDB"/>
    <w:multiLevelType w:val="hybridMultilevel"/>
    <w:lvl w:ilvl="0">
      <w:lvlJc w:val="left"/>
      <w:lvlText w:val="(%1)"/>
      <w:numFmt w:val="lowerRoman"/>
      <w:start w:val="7"/>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lvl w:ilvl="1">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7"/>
    </w:lvl>
  </w:abstractNum>
  <w:abstractNum w:abstractNumId="45">
    <w:nsid w:val="1F48EAA1"/>
    <w:multiLevelType w:val="hybridMultilevel"/>
    <w:lvl w:ilvl="0">
      <w:lvlJc w:val="left"/>
      <w:lvlText w:val="(%1)"/>
      <w:numFmt w:val="decimal"/>
      <w:start w:val="12"/>
    </w:lvl>
  </w:abstractNum>
  <w:abstractNum w:abstractNumId="46">
    <w:nsid w:val="1381823A"/>
    <w:multiLevelType w:val="hybridMultilevel"/>
    <w:lvl w:ilvl="0">
      <w:lvlJc w:val="left"/>
      <w:lvlText w:val="(%1)"/>
      <w:numFmt w:val="lowerRoman"/>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lowerLetter"/>
      <w:start w:val="1"/>
    </w:lvl>
  </w:abstractNum>
  <w:abstractNum w:abstractNumId="49">
    <w:nsid w:val="6590700B"/>
    <w:multiLevelType w:val="hybridMultilevel"/>
    <w:lvl w:ilvl="0">
      <w:lvlJc w:val="left"/>
      <w:lvlText w:val="(%1)"/>
      <w:numFmt w:val="lowerRoman"/>
      <w:start w:val="10"/>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Letter"/>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2"/>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decimal"/>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2"/>
    </w:lvl>
  </w:abstractNum>
  <w:abstractNum w:abstractNumId="59">
    <w:nsid w:val="5DC79EA8"/>
    <w:multiLevelType w:val="hybridMultilevel"/>
    <w:lvl w:ilvl="0">
      <w:lvlJc w:val="left"/>
      <w:lvlText w:val="(%1)"/>
      <w:numFmt w:val="decimal"/>
      <w:start w:val="1"/>
    </w:lvl>
    <w:lvl w:ilvl="1">
      <w:lvlJc w:val="left"/>
      <w:lvlText w:val="(%2)"/>
      <w:numFmt w:val="lowerLetter"/>
      <w:start w:val="1"/>
    </w:lvl>
  </w:abstractNum>
  <w:abstractNum w:abstractNumId="60">
    <w:nsid w:val="540A471C"/>
    <w:multiLevelType w:val="hybridMultilevel"/>
    <w:lvl w:ilvl="0">
      <w:lvlJc w:val="left"/>
      <w:lvlText w:val="(%1)"/>
      <w:numFmt w:val="decimal"/>
      <w:start w:val="5"/>
    </w:lvl>
  </w:abstractNum>
  <w:abstractNum w:abstractNumId="61">
    <w:nsid w:val="7BD3EE7B"/>
    <w:multiLevelType w:val="hybridMultilevel"/>
    <w:lvl w:ilvl="0">
      <w:lvlJc w:val="left"/>
      <w:lvlText w:val="(%1)"/>
      <w:numFmt w:val="decimal"/>
      <w:start w:val="7"/>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3"/>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2"/>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1)"/>
      <w:numFmt w:val="decimal"/>
      <w:start w:val="10"/>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1)"/>
      <w:numFmt w:val="decimal"/>
      <w:start w:val="2"/>
    </w:lvl>
  </w:abstractNum>
  <w:abstractNum w:abstractNumId="70">
    <w:nsid w:val="3B0FD379"/>
    <w:multiLevelType w:val="hybridMultilevel"/>
    <w:lvl w:ilvl="0">
      <w:lvlJc w:val="left"/>
      <w:lvlText w:val="(%1)"/>
      <w:numFmt w:val="decimal"/>
      <w:start w:val="4"/>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2"/>
    </w:lvl>
  </w:abstractNum>
  <w:abstractNum w:abstractNumId="73">
    <w:nsid w:val="60B6DF70"/>
    <w:multiLevelType w:val="hybridMultilevel"/>
    <w:lvl w:ilvl="0">
      <w:lvlJc w:val="left"/>
      <w:lvlText w:val="(%1)"/>
      <w:numFmt w:val="decimal"/>
      <w:start w:val="3"/>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1"/>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3"/>
    </w:lvl>
  </w:abstractNum>
  <w:abstractNum w:abstractNumId="80">
    <w:nsid w:val="7FB7E0AA"/>
    <w:multiLevelType w:val="hybridMultilevel"/>
    <w:lvl w:ilvl="0">
      <w:lvlJc w:val="left"/>
      <w:lvlText w:val="(%1)"/>
      <w:numFmt w:val="decimal"/>
      <w:start w:val="1"/>
    </w:lvl>
    <w:lvl w:ilvl="1">
      <w:lvlJc w:val="left"/>
      <w:lvlText w:val="(%2)"/>
      <w:numFmt w:val="lowerLetter"/>
      <w:start w:val="1"/>
    </w:lvl>
  </w:abstractNum>
  <w:abstractNum w:abstractNumId="81">
    <w:nsid w:val="6EB5BD4"/>
    <w:multiLevelType w:val="hybridMultilevel"/>
    <w:lvl w:ilvl="0">
      <w:lvlJc w:val="left"/>
      <w:lvlText w:val="(%1)"/>
      <w:numFmt w:val="lowerRoman"/>
      <w:start w:val="1"/>
    </w:lvl>
  </w:abstractNum>
  <w:abstractNum w:abstractNumId="82">
    <w:nsid w:val="6F6DD9AC"/>
    <w:multiLevelType w:val="hybridMultilevel"/>
    <w:lvl w:ilvl="0">
      <w:lvlJc w:val="left"/>
      <w:lvlText w:val="(%1)"/>
      <w:numFmt w:val="lowerRoman"/>
      <w:start w:val="4"/>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13" Type="http://schemas.openxmlformats.org/officeDocument/2006/relationships/hyperlink" Target="http://www.sec.gov/ix?doc=/Archives/edgar/data/1413447/000141344722000008/nxpi-20211231.htm" TargetMode="External"/><Relationship Id="rId14" Type="http://schemas.openxmlformats.org/officeDocument/2006/relationships/hyperlink" Target="http://www.sec.gov/ix?doc=/Archives/edgar/data/1413447/000141344722000004/nxpi-20220131.htm" TargetMode="External"/><Relationship Id="rId15" Type="http://schemas.openxmlformats.org/officeDocument/2006/relationships/hyperlink" Target="http://www.sec.gov/Archives/edgar/data/1413447/000119312522101634/d202862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2022-04-14T15:16:01Z</dcterms:created>
  <dcterms:modified xsi:type="dcterms:W3CDTF">2022-04-14T15:16:01Z</dcterms:modified>
</cp:coreProperties>
</file>