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August 12, 2025</w:t>
      </w:r>
    </w:p>
    <w:p>
      <w:pPr>
        <w:spacing w:after="0" w:line="5" w:lineRule="exact"/>
        <w:rPr>
          <w:sz w:val="24"/>
          <w:szCs w:val="24"/>
          <w:color w:val="auto"/>
        </w:rPr>
      </w:pPr>
    </w:p>
    <w:p>
      <w:pPr>
        <w:ind w:left="862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827405</wp:posOffset>
            </wp:positionH>
            <wp:positionV relativeFrom="paragraph">
              <wp:posOffset>44450</wp:posOffset>
            </wp:positionV>
            <wp:extent cx="55130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78740</wp:posOffset>
            </wp:positionV>
            <wp:extent cx="55130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11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187325</wp:posOffset>
            </wp:positionV>
            <wp:extent cx="1162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181610</wp:posOffset>
            </wp:positionV>
            <wp:extent cx="11620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1"/>
          <w:szCs w:val="31"/>
          <w:b w:val="1"/>
          <w:bCs w:val="1"/>
          <w:color w:val="auto"/>
        </w:rPr>
        <w:t>NXP Semiconductors N.V.</w:t>
      </w:r>
    </w:p>
    <w:p>
      <w:pPr>
        <w:spacing w:after="0" w:line="3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1"/>
          <w:szCs w:val="31"/>
          <w:b w:val="1"/>
          <w:bCs w:val="1"/>
          <w:color w:val="auto"/>
        </w:rPr>
        <w:t>NXP B.V.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173355</wp:posOffset>
            </wp:positionV>
            <wp:extent cx="11620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2840" w:type="dxa"/>
        <w:tblCellMar>
          <w:top w:w="0" w:type="dxa"/>
          <w:left w:w="0" w:type="dxa"/>
          <w:bottom w:w="0" w:type="dxa"/>
          <w:right w:w="0" w:type="dxa"/>
        </w:tblCellMar>
      </w:tblPr>
      <w:tr>
        <w:trPr>
          <w:trHeight w:val="126"/>
        </w:trPr>
        <w:tc>
          <w:tcPr>
            <w:tcW w:w="2920" w:type="dxa"/>
            <w:vAlign w:val="bottom"/>
          </w:tcPr>
          <w:p>
            <w:pPr>
              <w:jc w:val="center"/>
              <w:ind w:right="1547"/>
              <w:spacing w:after="0"/>
              <w:rPr>
                <w:sz w:val="20"/>
                <w:szCs w:val="20"/>
                <w:color w:val="auto"/>
              </w:rPr>
            </w:pPr>
            <w:r>
              <w:rPr>
                <w:rFonts w:ascii="Times New Roman" w:cs="Times New Roman" w:eastAsia="Times New Roman" w:hAnsi="Times New Roman"/>
                <w:sz w:val="11"/>
                <w:szCs w:val="11"/>
                <w:b w:val="1"/>
                <w:bCs w:val="1"/>
                <w:color w:val="auto"/>
              </w:rPr>
              <w:t>Netherlands</w:t>
            </w:r>
          </w:p>
        </w:tc>
        <w:tc>
          <w:tcPr>
            <w:tcW w:w="2620" w:type="dxa"/>
            <w:vAlign w:val="bottom"/>
          </w:tcPr>
          <w:p>
            <w:pPr>
              <w:jc w:val="center"/>
              <w:ind w:left="1547"/>
              <w:spacing w:after="0"/>
              <w:rPr>
                <w:sz w:val="20"/>
                <w:szCs w:val="20"/>
                <w:color w:val="auto"/>
              </w:rPr>
            </w:pPr>
            <w:r>
              <w:rPr>
                <w:rFonts w:ascii="Times New Roman" w:cs="Times New Roman" w:eastAsia="Times New Roman" w:hAnsi="Times New Roman"/>
                <w:sz w:val="11"/>
                <w:szCs w:val="11"/>
                <w:b w:val="1"/>
                <w:bCs w:val="1"/>
                <w:color w:val="auto"/>
              </w:rPr>
              <w:t>98-1144352</w:t>
            </w:r>
          </w:p>
        </w:tc>
      </w:tr>
      <w:tr>
        <w:trPr>
          <w:trHeight w:val="132"/>
        </w:trPr>
        <w:tc>
          <w:tcPr>
            <w:tcW w:w="2920" w:type="dxa"/>
            <w:vAlign w:val="bottom"/>
          </w:tcPr>
          <w:p>
            <w:pPr>
              <w:jc w:val="center"/>
              <w:ind w:right="1547"/>
              <w:spacing w:after="0"/>
              <w:rPr>
                <w:sz w:val="20"/>
                <w:szCs w:val="20"/>
                <w:color w:val="auto"/>
              </w:rPr>
            </w:pPr>
            <w:r>
              <w:rPr>
                <w:rFonts w:ascii="Times New Roman" w:cs="Times New Roman" w:eastAsia="Times New Roman" w:hAnsi="Times New Roman"/>
                <w:sz w:val="11"/>
                <w:szCs w:val="11"/>
                <w:b w:val="1"/>
                <w:bCs w:val="1"/>
                <w:color w:val="auto"/>
              </w:rPr>
              <w:t>Netherlands</w:t>
            </w:r>
          </w:p>
        </w:tc>
        <w:tc>
          <w:tcPr>
            <w:tcW w:w="2620" w:type="dxa"/>
            <w:vAlign w:val="bottom"/>
          </w:tcPr>
          <w:p>
            <w:pPr>
              <w:jc w:val="center"/>
              <w:ind w:left="1547"/>
              <w:spacing w:after="0"/>
              <w:rPr>
                <w:sz w:val="20"/>
                <w:szCs w:val="20"/>
                <w:color w:val="auto"/>
              </w:rPr>
            </w:pPr>
            <w:r>
              <w:rPr>
                <w:rFonts w:ascii="Times New Roman" w:cs="Times New Roman" w:eastAsia="Times New Roman" w:hAnsi="Times New Roman"/>
                <w:sz w:val="11"/>
                <w:szCs w:val="11"/>
                <w:b w:val="1"/>
                <w:bCs w:val="1"/>
                <w:color w:val="auto"/>
              </w:rPr>
              <w:t>98-0514811</w:t>
            </w:r>
          </w:p>
        </w:tc>
      </w:tr>
      <w:tr>
        <w:trPr>
          <w:trHeight w:val="106"/>
        </w:trPr>
        <w:tc>
          <w:tcPr>
            <w:tcW w:w="2920" w:type="dxa"/>
            <w:vAlign w:val="bottom"/>
          </w:tcPr>
          <w:p>
            <w:pPr>
              <w:jc w:val="center"/>
              <w:ind w:right="1547"/>
              <w:spacing w:after="0" w:line="107" w:lineRule="exact"/>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2620" w:type="dxa"/>
            <w:vAlign w:val="bottom"/>
          </w:tcPr>
          <w:p>
            <w:pPr>
              <w:jc w:val="center"/>
              <w:ind w:left="1567"/>
              <w:spacing w:after="0" w:line="107" w:lineRule="exact"/>
              <w:rPr>
                <w:sz w:val="20"/>
                <w:szCs w:val="20"/>
                <w:color w:val="auto"/>
              </w:rPr>
            </w:pPr>
            <w:r>
              <w:rPr>
                <w:rFonts w:ascii="Times New Roman" w:cs="Times New Roman" w:eastAsia="Times New Roman" w:hAnsi="Times New Roman"/>
                <w:sz w:val="10"/>
                <w:szCs w:val="10"/>
                <w:b w:val="1"/>
                <w:bCs w:val="1"/>
                <w:color w:val="auto"/>
                <w:w w:val="97"/>
              </w:rPr>
              <w:t>(I.RS. Employer</w:t>
            </w:r>
          </w:p>
        </w:tc>
      </w:tr>
      <w:tr>
        <w:trPr>
          <w:trHeight w:val="130"/>
        </w:trPr>
        <w:tc>
          <w:tcPr>
            <w:tcW w:w="2920" w:type="dxa"/>
            <w:vAlign w:val="bottom"/>
          </w:tcPr>
          <w:p>
            <w:pPr>
              <w:jc w:val="center"/>
              <w:ind w:right="1567"/>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2620" w:type="dxa"/>
            <w:vAlign w:val="bottom"/>
          </w:tcPr>
          <w:p>
            <w:pPr>
              <w:jc w:val="center"/>
              <w:ind w:left="1567"/>
              <w:spacing w:after="0"/>
              <w:rPr>
                <w:sz w:val="20"/>
                <w:szCs w:val="20"/>
                <w:color w:val="auto"/>
              </w:rPr>
            </w:pPr>
            <w:r>
              <w:rPr>
                <w:rFonts w:ascii="Times New Roman" w:cs="Times New Roman" w:eastAsia="Times New Roman" w:hAnsi="Times New Roman"/>
                <w:sz w:val="10"/>
                <w:szCs w:val="10"/>
                <w:b w:val="1"/>
                <w:bCs w:val="1"/>
                <w:color w:val="auto"/>
              </w:rPr>
              <w:t>Identification Number)</w:t>
            </w:r>
          </w:p>
        </w:tc>
      </w:tr>
    </w:tbl>
    <w:p>
      <w:pPr>
        <w:spacing w:after="0" w:line="1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High Tech Campus 60, 5656 AG Eindhoven</w:t>
      </w:r>
    </w:p>
    <w:p>
      <w:pPr>
        <w:jc w:val="center"/>
        <w:ind w:right="-1140"/>
        <w:spacing w:after="0" w:line="230" w:lineRule="auto"/>
        <w:rPr>
          <w:sz w:val="20"/>
          <w:szCs w:val="20"/>
          <w:color w:val="auto"/>
        </w:rPr>
      </w:pPr>
      <w:r>
        <w:rPr>
          <w:rFonts w:ascii="Times New Roman" w:cs="Times New Roman" w:eastAsia="Times New Roman" w:hAnsi="Times New Roman"/>
          <w:sz w:val="11"/>
          <w:szCs w:val="11"/>
          <w:b w:val="1"/>
          <w:bCs w:val="1"/>
          <w:color w:val="auto"/>
        </w:rPr>
        <w:t>Netherlands</w:t>
      </w:r>
    </w:p>
    <w:p>
      <w:pPr>
        <w:jc w:val="center"/>
        <w:ind w:right="-1140"/>
        <w:spacing w:after="0" w:line="226" w:lineRule="auto"/>
        <w:rPr>
          <w:sz w:val="20"/>
          <w:szCs w:val="20"/>
          <w:color w:val="auto"/>
        </w:rPr>
      </w:pPr>
      <w:r>
        <w:rPr>
          <w:rFonts w:ascii="Times New Roman" w:cs="Times New Roman" w:eastAsia="Times New Roman" w:hAnsi="Times New Roman"/>
          <w:sz w:val="11"/>
          <w:szCs w:val="11"/>
          <w:b w:val="1"/>
          <w:bCs w:val="1"/>
          <w:color w:val="auto"/>
        </w:rPr>
        <w:t>+31 40 2729999</w:t>
      </w:r>
    </w:p>
    <w:p>
      <w:pPr>
        <w:ind w:left="322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172085</wp:posOffset>
            </wp:positionV>
            <wp:extent cx="11620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38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1"/>
          <w:szCs w:val="31"/>
          <w:b w:val="1"/>
          <w:bCs w:val="1"/>
          <w:color w:val="auto"/>
        </w:rPr>
        <w:t>NXP Funding LLC</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NXP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179705</wp:posOffset>
            </wp:positionV>
            <wp:extent cx="11620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2840" w:type="dxa"/>
        <w:tblCellMar>
          <w:top w:w="0" w:type="dxa"/>
          <w:left w:w="0" w:type="dxa"/>
          <w:bottom w:w="0" w:type="dxa"/>
          <w:right w:w="0" w:type="dxa"/>
        </w:tblCellMar>
      </w:tblPr>
      <w:tr>
        <w:trPr>
          <w:trHeight w:val="126"/>
        </w:trPr>
        <w:tc>
          <w:tcPr>
            <w:tcW w:w="2920" w:type="dxa"/>
            <w:vAlign w:val="bottom"/>
          </w:tcPr>
          <w:p>
            <w:pPr>
              <w:jc w:val="center"/>
              <w:ind w:right="1567"/>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620" w:type="dxa"/>
            <w:vAlign w:val="bottom"/>
          </w:tcPr>
          <w:p>
            <w:pPr>
              <w:jc w:val="center"/>
              <w:ind w:left="1567"/>
              <w:spacing w:after="0"/>
              <w:rPr>
                <w:sz w:val="20"/>
                <w:szCs w:val="20"/>
                <w:color w:val="auto"/>
              </w:rPr>
            </w:pPr>
            <w:r>
              <w:rPr>
                <w:rFonts w:ascii="Times New Roman" w:cs="Times New Roman" w:eastAsia="Times New Roman" w:hAnsi="Times New Roman"/>
                <w:sz w:val="11"/>
                <w:szCs w:val="11"/>
                <w:b w:val="1"/>
                <w:bCs w:val="1"/>
                <w:color w:val="auto"/>
              </w:rPr>
              <w:t>83-1373050</w:t>
            </w:r>
          </w:p>
        </w:tc>
      </w:tr>
      <w:tr>
        <w:trPr>
          <w:trHeight w:val="132"/>
        </w:trPr>
        <w:tc>
          <w:tcPr>
            <w:tcW w:w="2920" w:type="dxa"/>
            <w:vAlign w:val="bottom"/>
          </w:tcPr>
          <w:p>
            <w:pPr>
              <w:jc w:val="center"/>
              <w:ind w:right="1567"/>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620" w:type="dxa"/>
            <w:vAlign w:val="bottom"/>
          </w:tcPr>
          <w:p>
            <w:pPr>
              <w:jc w:val="center"/>
              <w:ind w:left="1567"/>
              <w:spacing w:after="0"/>
              <w:rPr>
                <w:sz w:val="20"/>
                <w:szCs w:val="20"/>
                <w:color w:val="auto"/>
              </w:rPr>
            </w:pPr>
            <w:r>
              <w:rPr>
                <w:rFonts w:ascii="Times New Roman" w:cs="Times New Roman" w:eastAsia="Times New Roman" w:hAnsi="Times New Roman"/>
                <w:sz w:val="11"/>
                <w:szCs w:val="11"/>
                <w:b w:val="1"/>
                <w:bCs w:val="1"/>
                <w:color w:val="auto"/>
              </w:rPr>
              <w:t>20-0443182</w:t>
            </w:r>
          </w:p>
        </w:tc>
      </w:tr>
      <w:tr>
        <w:trPr>
          <w:trHeight w:val="106"/>
        </w:trPr>
        <w:tc>
          <w:tcPr>
            <w:tcW w:w="2920" w:type="dxa"/>
            <w:vAlign w:val="bottom"/>
          </w:tcPr>
          <w:p>
            <w:pPr>
              <w:jc w:val="center"/>
              <w:ind w:right="1547"/>
              <w:spacing w:after="0" w:line="107" w:lineRule="exact"/>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2620" w:type="dxa"/>
            <w:vAlign w:val="bottom"/>
          </w:tcPr>
          <w:p>
            <w:pPr>
              <w:jc w:val="center"/>
              <w:ind w:left="1567"/>
              <w:spacing w:after="0" w:line="107" w:lineRule="exact"/>
              <w:rPr>
                <w:sz w:val="20"/>
                <w:szCs w:val="20"/>
                <w:color w:val="auto"/>
              </w:rPr>
            </w:pPr>
            <w:r>
              <w:rPr>
                <w:rFonts w:ascii="Times New Roman" w:cs="Times New Roman" w:eastAsia="Times New Roman" w:hAnsi="Times New Roman"/>
                <w:sz w:val="10"/>
                <w:szCs w:val="10"/>
                <w:b w:val="1"/>
                <w:bCs w:val="1"/>
                <w:color w:val="auto"/>
                <w:w w:val="97"/>
              </w:rPr>
              <w:t>(I.RS. Employer</w:t>
            </w:r>
          </w:p>
        </w:tc>
      </w:tr>
      <w:tr>
        <w:trPr>
          <w:trHeight w:val="130"/>
        </w:trPr>
        <w:tc>
          <w:tcPr>
            <w:tcW w:w="2920" w:type="dxa"/>
            <w:vAlign w:val="bottom"/>
          </w:tcPr>
          <w:p>
            <w:pPr>
              <w:jc w:val="center"/>
              <w:ind w:right="1567"/>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2620" w:type="dxa"/>
            <w:vAlign w:val="bottom"/>
          </w:tcPr>
          <w:p>
            <w:pPr>
              <w:jc w:val="center"/>
              <w:ind w:left="1567"/>
              <w:spacing w:after="0"/>
              <w:rPr>
                <w:sz w:val="20"/>
                <w:szCs w:val="20"/>
                <w:color w:val="auto"/>
              </w:rPr>
            </w:pPr>
            <w:r>
              <w:rPr>
                <w:rFonts w:ascii="Times New Roman" w:cs="Times New Roman" w:eastAsia="Times New Roman" w:hAnsi="Times New Roman"/>
                <w:sz w:val="10"/>
                <w:szCs w:val="10"/>
                <w:b w:val="1"/>
                <w:bCs w:val="1"/>
                <w:color w:val="auto"/>
              </w:rPr>
              <w:t>Identification Number)</w:t>
            </w:r>
          </w:p>
        </w:tc>
      </w:tr>
    </w:tbl>
    <w:p>
      <w:pPr>
        <w:spacing w:after="0" w:line="1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251 Little Falls Drive</w:t>
      </w:r>
    </w:p>
    <w:p>
      <w:pPr>
        <w:jc w:val="center"/>
        <w:ind w:right="-1140"/>
        <w:spacing w:after="0" w:line="230" w:lineRule="auto"/>
        <w:rPr>
          <w:sz w:val="20"/>
          <w:szCs w:val="20"/>
          <w:color w:val="auto"/>
        </w:rPr>
      </w:pPr>
      <w:r>
        <w:rPr>
          <w:rFonts w:ascii="Times New Roman" w:cs="Times New Roman" w:eastAsia="Times New Roman" w:hAnsi="Times New Roman"/>
          <w:sz w:val="11"/>
          <w:szCs w:val="11"/>
          <w:b w:val="1"/>
          <w:bCs w:val="1"/>
          <w:color w:val="auto"/>
        </w:rPr>
        <w:t>Wilmington, Delaware 19808</w:t>
      </w:r>
    </w:p>
    <w:p>
      <w:pPr>
        <w:jc w:val="center"/>
        <w:ind w:right="-1140"/>
        <w:spacing w:after="0" w:line="226" w:lineRule="auto"/>
        <w:rPr>
          <w:sz w:val="20"/>
          <w:szCs w:val="20"/>
          <w:color w:val="auto"/>
        </w:rPr>
      </w:pPr>
      <w:r>
        <w:rPr>
          <w:rFonts w:ascii="Times New Roman" w:cs="Times New Roman" w:eastAsia="Times New Roman" w:hAnsi="Times New Roman"/>
          <w:sz w:val="11"/>
          <w:szCs w:val="11"/>
          <w:b w:val="1"/>
          <w:bCs w:val="1"/>
          <w:color w:val="auto"/>
        </w:rPr>
        <w:t>+ 1.512.933.8214</w:t>
      </w:r>
    </w:p>
    <w:p>
      <w:pPr>
        <w:ind w:left="322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179070</wp:posOffset>
            </wp:positionV>
            <wp:extent cx="11620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NXP Funding LLC</w:t>
      </w:r>
    </w:p>
    <w:p>
      <w:pPr>
        <w:jc w:val="center"/>
        <w:ind w:right="-1140"/>
        <w:spacing w:after="0" w:line="230" w:lineRule="auto"/>
        <w:rPr>
          <w:sz w:val="20"/>
          <w:szCs w:val="20"/>
          <w:color w:val="auto"/>
        </w:rPr>
      </w:pPr>
      <w:r>
        <w:rPr>
          <w:rFonts w:ascii="Times New Roman" w:cs="Times New Roman" w:eastAsia="Times New Roman" w:hAnsi="Times New Roman"/>
          <w:sz w:val="11"/>
          <w:szCs w:val="11"/>
          <w:b w:val="1"/>
          <w:bCs w:val="1"/>
          <w:color w:val="auto"/>
        </w:rPr>
        <w:t>251 Little Falls Drive</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Wilmington, Delaware 19808</w:t>
      </w:r>
    </w:p>
    <w:p>
      <w:pPr>
        <w:jc w:val="center"/>
        <w:ind w:right="-1140"/>
        <w:spacing w:after="0" w:line="226" w:lineRule="auto"/>
        <w:rPr>
          <w:sz w:val="20"/>
          <w:szCs w:val="20"/>
          <w:color w:val="auto"/>
        </w:rPr>
      </w:pPr>
      <w:r>
        <w:rPr>
          <w:rFonts w:ascii="Times New Roman" w:cs="Times New Roman" w:eastAsia="Times New Roman" w:hAnsi="Times New Roman"/>
          <w:sz w:val="11"/>
          <w:szCs w:val="11"/>
          <w:b w:val="1"/>
          <w:bCs w:val="1"/>
          <w:color w:val="auto"/>
        </w:rPr>
        <w:t>+ 1.512.933.8214</w:t>
      </w:r>
    </w:p>
    <w:p>
      <w:pPr>
        <w:ind w:left="35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172085</wp:posOffset>
            </wp:positionV>
            <wp:extent cx="11620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Laura Kaufmann Belkhayat</w:t>
      </w:r>
    </w:p>
    <w:p>
      <w:pPr>
        <w:jc w:val="center"/>
        <w:ind w:right="-1140"/>
        <w:spacing w:after="0" w:line="230" w:lineRule="auto"/>
        <w:rPr>
          <w:sz w:val="20"/>
          <w:szCs w:val="20"/>
          <w:color w:val="auto"/>
        </w:rPr>
      </w:pPr>
      <w:r>
        <w:rPr>
          <w:rFonts w:ascii="Times New Roman" w:cs="Times New Roman" w:eastAsia="Times New Roman" w:hAnsi="Times New Roman"/>
          <w:sz w:val="11"/>
          <w:szCs w:val="11"/>
          <w:b w:val="1"/>
          <w:bCs w:val="1"/>
          <w:color w:val="auto"/>
        </w:rPr>
        <w:t>Michael Hamilton</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Skadden, Arps, Slate, Meagher &amp; Flom LLP</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One Manhattan West</w:t>
      </w:r>
    </w:p>
    <w:p>
      <w:pPr>
        <w:jc w:val="center"/>
        <w:ind w:right="-1140"/>
        <w:spacing w:after="0" w:line="222" w:lineRule="auto"/>
        <w:rPr>
          <w:sz w:val="20"/>
          <w:szCs w:val="20"/>
          <w:color w:val="auto"/>
        </w:rPr>
      </w:pPr>
      <w:r>
        <w:rPr>
          <w:rFonts w:ascii="Times New Roman" w:cs="Times New Roman" w:eastAsia="Times New Roman" w:hAnsi="Times New Roman"/>
          <w:sz w:val="11"/>
          <w:szCs w:val="11"/>
          <w:b w:val="1"/>
          <w:bCs w:val="1"/>
          <w:color w:val="auto"/>
        </w:rPr>
        <w:t>New York, New York 10001</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Telephone: (212)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172720</wp:posOffset>
            </wp:positionV>
            <wp:extent cx="11620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color w:val="auto"/>
        </w:rPr>
        <w:t>Approximate date of commencement of proposed sale to the public: From time to time after the effective date of this registration statement.</w:t>
      </w:r>
    </w:p>
    <w:p>
      <w:pPr>
        <w:spacing w:after="0" w:line="145" w:lineRule="exact"/>
        <w:rPr>
          <w:sz w:val="24"/>
          <w:szCs w:val="24"/>
          <w:color w:val="auto"/>
        </w:rPr>
      </w:pPr>
    </w:p>
    <w:p>
      <w:pPr>
        <w:ind w:left="166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98" w:lineRule="exact"/>
        <w:rPr>
          <w:sz w:val="24"/>
          <w:szCs w:val="24"/>
          <w:color w:val="auto"/>
        </w:rPr>
      </w:pPr>
    </w:p>
    <w:p>
      <w:pPr>
        <w:ind w:left="1300" w:right="41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34" w:lineRule="exact"/>
        <w:rPr>
          <w:sz w:val="24"/>
          <w:szCs w:val="24"/>
          <w:color w:val="auto"/>
        </w:rPr>
      </w:pPr>
    </w:p>
    <w:p>
      <w:pPr>
        <w:ind w:left="1300" w:right="61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34" w:lineRule="exact"/>
        <w:rPr>
          <w:sz w:val="24"/>
          <w:szCs w:val="24"/>
          <w:color w:val="auto"/>
        </w:rPr>
      </w:pPr>
    </w:p>
    <w:p>
      <w:pPr>
        <w:ind w:left="1300" w:right="25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34" w:lineRule="exact"/>
        <w:rPr>
          <w:sz w:val="24"/>
          <w:szCs w:val="24"/>
          <w:color w:val="auto"/>
        </w:rPr>
      </w:pPr>
    </w:p>
    <w:p>
      <w:pPr>
        <w:ind w:left="1300" w:right="17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34" w:lineRule="exact"/>
        <w:rPr>
          <w:sz w:val="24"/>
          <w:szCs w:val="24"/>
          <w:color w:val="auto"/>
        </w:rPr>
      </w:pPr>
    </w:p>
    <w:p>
      <w:pPr>
        <w:ind w:left="1300" w:right="29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34" w:lineRule="exact"/>
        <w:rPr>
          <w:sz w:val="24"/>
          <w:szCs w:val="24"/>
          <w:color w:val="auto"/>
        </w:rPr>
      </w:pPr>
    </w:p>
    <w:p>
      <w:pPr>
        <w:ind w:left="1300" w:right="459" w:firstLine="347"/>
        <w:spacing w:after="0" w:line="26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5" w:lineRule="exact"/>
        <w:rPr>
          <w:sz w:val="24"/>
          <w:szCs w:val="24"/>
          <w:color w:val="auto"/>
        </w:rPr>
      </w:pPr>
    </w:p>
    <w:tbl>
      <w:tblPr>
        <w:tblLayout w:type="fixed"/>
        <w:tblInd w:w="1300" w:type="dxa"/>
        <w:tblCellMar>
          <w:top w:w="0" w:type="dxa"/>
          <w:left w:w="0" w:type="dxa"/>
          <w:bottom w:w="0" w:type="dxa"/>
          <w:right w:w="0" w:type="dxa"/>
        </w:tblCellMar>
      </w:tblPr>
      <w:tr>
        <w:trPr>
          <w:trHeight w:val="181"/>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9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Accelerated filer</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1"/>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9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8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Emerging growth company</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33" w:lineRule="exact"/>
        <w:rPr>
          <w:sz w:val="24"/>
          <w:szCs w:val="24"/>
          <w:color w:val="auto"/>
        </w:rPr>
      </w:pPr>
    </w:p>
    <w:p>
      <w:pPr>
        <w:ind w:left="1300" w:right="63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827405</wp:posOffset>
            </wp:positionH>
            <wp:positionV relativeFrom="paragraph">
              <wp:posOffset>122555</wp:posOffset>
            </wp:positionV>
            <wp:extent cx="551307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156845</wp:posOffset>
            </wp:positionV>
            <wp:extent cx="551307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ectPr>
          <w:pgSz w:w="11900" w:h="16838" w:orient="portrait"/>
          <w:cols w:equalWidth="0" w:num="1">
            <w:col w:w="10159"/>
          </w:cols>
          <w:pgMar w:left="300" w:top="208" w:right="1440" w:bottom="1049"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137795</wp:posOffset>
            </wp:positionV>
            <wp:extent cx="1121410" cy="378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141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1"/>
          <w:szCs w:val="31"/>
          <w:b w:val="1"/>
          <w:bCs w:val="1"/>
          <w:color w:val="auto"/>
        </w:rPr>
        <w:t>NXP B.V.</w:t>
      </w:r>
    </w:p>
    <w:p>
      <w:pPr>
        <w:spacing w:after="0" w:line="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1"/>
          <w:szCs w:val="31"/>
          <w:b w:val="1"/>
          <w:bCs w:val="1"/>
          <w:color w:val="auto"/>
        </w:rPr>
        <w:t>NXP Funding LLC</w:t>
      </w:r>
    </w:p>
    <w:p>
      <w:pPr>
        <w:jc w:val="center"/>
        <w:ind w:right="-1140"/>
        <w:spacing w:after="0"/>
        <w:rPr>
          <w:sz w:val="20"/>
          <w:szCs w:val="20"/>
          <w:color w:val="auto"/>
        </w:rPr>
      </w:pPr>
      <w:r>
        <w:rPr>
          <w:rFonts w:ascii="Times New Roman" w:cs="Times New Roman" w:eastAsia="Times New Roman" w:hAnsi="Times New Roman"/>
          <w:sz w:val="31"/>
          <w:szCs w:val="31"/>
          <w:b w:val="1"/>
          <w:bCs w:val="1"/>
          <w:color w:val="auto"/>
        </w:rPr>
        <w:t>NXP USA, Inc.</w:t>
      </w:r>
    </w:p>
    <w:p>
      <w:pPr>
        <w:spacing w:after="0" w:line="1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fully and unconditionally guaranteed by NXP Semiconductors N.V.</w:t>
      </w:r>
    </w:p>
    <w:p>
      <w:pPr>
        <w:spacing w:after="0" w:line="1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1"/>
          <w:szCs w:val="31"/>
          <w:b w:val="1"/>
          <w:bCs w:val="1"/>
          <w:color w:val="auto"/>
        </w:rPr>
        <w:t>NXP Semiconductors N.V.</w:t>
      </w:r>
    </w:p>
    <w:p>
      <w:pPr>
        <w:spacing w:after="0" w:line="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180975</wp:posOffset>
            </wp:positionV>
            <wp:extent cx="11620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left="1300" w:right="259" w:firstLine="347"/>
        <w:spacing w:after="0" w:line="272" w:lineRule="auto"/>
        <w:rPr>
          <w:sz w:val="20"/>
          <w:szCs w:val="20"/>
          <w:color w:val="auto"/>
        </w:rPr>
      </w:pPr>
      <w:r>
        <w:rPr>
          <w:rFonts w:ascii="Times New Roman" w:cs="Times New Roman" w:eastAsia="Times New Roman" w:hAnsi="Times New Roman"/>
          <w:sz w:val="14"/>
          <w:szCs w:val="14"/>
          <w:color w:val="auto"/>
        </w:rPr>
        <w:t>NXP B.V.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NXP Funding LLC (“</w:t>
      </w:r>
      <w:r>
        <w:rPr>
          <w:rFonts w:ascii="Times New Roman" w:cs="Times New Roman" w:eastAsia="Times New Roman" w:hAnsi="Times New Roman"/>
          <w:sz w:val="14"/>
          <w:szCs w:val="14"/>
          <w:b w:val="1"/>
          <w:bCs w:val="1"/>
          <w:color w:val="auto"/>
        </w:rPr>
        <w:t>NXP Funding</w:t>
      </w:r>
      <w:r>
        <w:rPr>
          <w:rFonts w:ascii="Times New Roman" w:cs="Times New Roman" w:eastAsia="Times New Roman" w:hAnsi="Times New Roman"/>
          <w:sz w:val="14"/>
          <w:szCs w:val="14"/>
          <w:color w:val="auto"/>
        </w:rPr>
        <w:t>”) and NXP USA, Inc. (“</w:t>
      </w:r>
      <w:r>
        <w:rPr>
          <w:rFonts w:ascii="Times New Roman" w:cs="Times New Roman" w:eastAsia="Times New Roman" w:hAnsi="Times New Roman"/>
          <w:sz w:val="14"/>
          <w:szCs w:val="14"/>
          <w:b w:val="1"/>
          <w:bCs w:val="1"/>
          <w:color w:val="auto"/>
        </w:rPr>
        <w:t>NXP USA</w:t>
      </w:r>
      <w:r>
        <w:rPr>
          <w:rFonts w:ascii="Times New Roman" w:cs="Times New Roman" w:eastAsia="Times New Roman" w:hAnsi="Times New Roman"/>
          <w:sz w:val="14"/>
          <w:szCs w:val="14"/>
          <w:color w:val="auto"/>
        </w:rPr>
        <w:t>” and together with the Company and NXP Funding, the “</w:t>
      </w:r>
      <w:r>
        <w:rPr>
          <w:rFonts w:ascii="Times New Roman" w:cs="Times New Roman" w:eastAsia="Times New Roman" w:hAnsi="Times New Roman"/>
          <w:sz w:val="14"/>
          <w:szCs w:val="14"/>
          <w:b w:val="1"/>
          <w:bCs w:val="1"/>
          <w:color w:val="auto"/>
        </w:rPr>
        <w:t>Issuers</w:t>
      </w:r>
      <w:r>
        <w:rPr>
          <w:rFonts w:ascii="Times New Roman" w:cs="Times New Roman" w:eastAsia="Times New Roman" w:hAnsi="Times New Roman"/>
          <w:sz w:val="14"/>
          <w:szCs w:val="14"/>
          <w:color w:val="auto"/>
        </w:rPr>
        <w:t>”) may offer, issue and sell, together or separately, debt securities, which will be fully and unconditionally guaranteed on a senior unsecured basis by the parent company of the Issuers, NXP Semiconductors N.V. (the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00" w:right="199" w:firstLine="347"/>
        <w:spacing w:after="0" w:line="271" w:lineRule="auto"/>
        <w:rPr>
          <w:sz w:val="20"/>
          <w:szCs w:val="20"/>
          <w:color w:val="auto"/>
        </w:rPr>
      </w:pPr>
      <w:r>
        <w:rPr>
          <w:rFonts w:ascii="Times New Roman" w:cs="Times New Roman" w:eastAsia="Times New Roman" w:hAnsi="Times New Roman"/>
          <w:sz w:val="14"/>
          <w:szCs w:val="14"/>
          <w:color w:val="auto"/>
        </w:rPr>
        <w:t>This prospectus describes some of the general terms that may apply to the debt securities to be offered. The specific terms of any debt securities to be offered will be described in supplements to this prospectus, which may also add, update or change information contained in this prospectus. You should read this prospectus and the applicable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169545</wp:posOffset>
            </wp:positionV>
            <wp:extent cx="116205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192405</wp:posOffset>
            </wp:positionV>
            <wp:extent cx="116205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300" w:right="839" w:firstLine="347"/>
        <w:spacing w:after="0" w:line="272"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number of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7 before you make your investment decision.</w:t>
      </w:r>
    </w:p>
    <w:p>
      <w:pPr>
        <w:spacing w:after="0" w:line="120" w:lineRule="exact"/>
        <w:rPr>
          <w:sz w:val="20"/>
          <w:szCs w:val="20"/>
          <w:color w:val="auto"/>
        </w:rPr>
      </w:pPr>
    </w:p>
    <w:p>
      <w:pPr>
        <w:ind w:left="1300" w:right="379" w:firstLine="347"/>
        <w:spacing w:after="0" w:line="271" w:lineRule="auto"/>
        <w:rPr>
          <w:sz w:val="20"/>
          <w:szCs w:val="20"/>
          <w:color w:val="auto"/>
        </w:rPr>
      </w:pPr>
      <w:r>
        <w:rPr>
          <w:rFonts w:ascii="Times New Roman" w:cs="Times New Roman" w:eastAsia="Times New Roman" w:hAnsi="Times New Roman"/>
          <w:sz w:val="14"/>
          <w:szCs w:val="14"/>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36" w:lineRule="exact"/>
        <w:rPr>
          <w:sz w:val="20"/>
          <w:szCs w:val="20"/>
          <w:color w:val="auto"/>
        </w:rPr>
      </w:pPr>
    </w:p>
    <w:p>
      <w:pPr>
        <w:ind w:left="1300" w:right="419" w:firstLine="347"/>
        <w:spacing w:after="0" w:line="288" w:lineRule="auto"/>
        <w:rPr>
          <w:sz w:val="20"/>
          <w:szCs w:val="20"/>
          <w:color w:val="auto"/>
        </w:rPr>
      </w:pPr>
      <w:r>
        <w:rPr>
          <w:rFonts w:ascii="Times New Roman" w:cs="Times New Roman" w:eastAsia="Times New Roman" w:hAnsi="Times New Roman"/>
          <w:sz w:val="14"/>
          <w:szCs w:val="14"/>
          <w:color w:val="auto"/>
        </w:rPr>
        <w:t>The Parent’s common stock is listed on The Nasdaq Global Select Market under the trading symbol “NXPI.” Each prospectus supplement will indicate whether the securities offered thereby will be listed on any securities exchange.</w:t>
      </w:r>
    </w:p>
    <w:p>
      <w:pPr>
        <w:spacing w:after="0" w:line="122" w:lineRule="exact"/>
        <w:rPr>
          <w:sz w:val="20"/>
          <w:szCs w:val="20"/>
          <w:color w:val="auto"/>
        </w:rPr>
      </w:pPr>
    </w:p>
    <w:p>
      <w:pPr>
        <w:ind w:left="1300" w:right="299" w:firstLine="347"/>
        <w:spacing w:after="0" w:line="27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163195</wp:posOffset>
            </wp:positionV>
            <wp:extent cx="116205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12, 2025</w:t>
      </w:r>
    </w:p>
    <w:p>
      <w:pPr>
        <w:sectPr>
          <w:pgSz w:w="11900" w:h="16838" w:orient="portrait"/>
          <w:cols w:equalWidth="0" w:num="1">
            <w:col w:w="10159"/>
          </w:cols>
          <w:pgMar w:left="300" w:top="38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40" w:type="dxa"/>
            <w:vAlign w:val="bottom"/>
          </w:tcPr>
          <w:p>
            <w:pPr>
              <w:spacing w:after="0"/>
              <w:rPr>
                <w:sz w:val="16"/>
                <w:szCs w:val="16"/>
                <w:color w:val="auto"/>
              </w:rPr>
            </w:pPr>
          </w:p>
        </w:tc>
      </w:tr>
      <w:tr>
        <w:trPr>
          <w:trHeight w:val="330"/>
        </w:trPr>
        <w:tc>
          <w:tcPr>
            <w:tcW w:w="680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0"/>
        </w:trPr>
        <w:tc>
          <w:tcPr>
            <w:tcW w:w="680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0"/>
        </w:trPr>
        <w:tc>
          <w:tcPr>
            <w:tcW w:w="680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r>
      <w:tr>
        <w:trPr>
          <w:trHeight w:val="150"/>
        </w:trPr>
        <w:tc>
          <w:tcPr>
            <w:tcW w:w="1020" w:type="dxa"/>
            <w:vAlign w:val="bottom"/>
            <w:tcBorders>
              <w:top w:val="single" w:sz="8" w:color="0000EE"/>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9"/>
              </w:rPr>
              <w:t>THE COMPANY</w:t>
            </w:r>
          </w:p>
        </w:tc>
        <w:tc>
          <w:tcPr>
            <w:tcW w:w="3540" w:type="dxa"/>
            <w:vAlign w:val="bottom"/>
            <w:tcBorders>
              <w:top w:val="single" w:sz="8" w:color="0000EE"/>
            </w:tcBorders>
            <w:gridSpan w:val="9"/>
          </w:tcPr>
          <w:p>
            <w:pPr>
              <w:spacing w:after="0"/>
              <w:rPr>
                <w:sz w:val="13"/>
                <w:szCs w:val="13"/>
                <w:color w:val="auto"/>
              </w:rPr>
            </w:pPr>
          </w:p>
        </w:tc>
        <w:tc>
          <w:tcPr>
            <w:tcW w:w="2240" w:type="dxa"/>
            <w:vAlign w:val="bottom"/>
          </w:tcPr>
          <w:p>
            <w:pPr>
              <w:spacing w:after="0"/>
              <w:rPr>
                <w:sz w:val="13"/>
                <w:szCs w:val="13"/>
                <w:color w:val="auto"/>
              </w:rPr>
            </w:pP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w:t>
            </w:r>
          </w:p>
        </w:tc>
      </w:tr>
      <w:tr>
        <w:trPr>
          <w:trHeight w:val="150"/>
        </w:trPr>
        <w:tc>
          <w:tcPr>
            <w:tcW w:w="680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INFORMATION REGARDING THE ISSUERS</w:t>
            </w: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r>
      <w:tr>
        <w:trPr>
          <w:trHeight w:val="150"/>
        </w:trPr>
        <w:tc>
          <w:tcPr>
            <w:tcW w:w="2760" w:type="dxa"/>
            <w:vAlign w:val="bottom"/>
            <w:tcBorders>
              <w:top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rPr>
              <w:t>RISK FACTORS</w:t>
            </w:r>
          </w:p>
        </w:tc>
        <w:tc>
          <w:tcPr>
            <w:tcW w:w="4040" w:type="dxa"/>
            <w:vAlign w:val="bottom"/>
            <w:gridSpan w:val="3"/>
          </w:tcPr>
          <w:p>
            <w:pPr>
              <w:spacing w:after="0"/>
              <w:rPr>
                <w:sz w:val="13"/>
                <w:szCs w:val="13"/>
                <w:color w:val="auto"/>
              </w:rPr>
            </w:pP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0"/>
        </w:trPr>
        <w:tc>
          <w:tcPr>
            <w:tcW w:w="680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USE OF PROCEEDS</w:t>
            </w: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0"/>
        </w:trPr>
        <w:tc>
          <w:tcPr>
            <w:tcW w:w="680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0"/>
        </w:trPr>
        <w:tc>
          <w:tcPr>
            <w:tcW w:w="680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ENFORCEMENT OF CIVIL LIABILITIES</w:t>
            </w: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r>
      <w:tr>
        <w:trPr>
          <w:trHeight w:val="150"/>
        </w:trPr>
        <w:tc>
          <w:tcPr>
            <w:tcW w:w="1620" w:type="dxa"/>
            <w:vAlign w:val="bottom"/>
            <w:tcBorders>
              <w:top w:val="single" w:sz="8" w:color="0000EE"/>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900" w:type="dxa"/>
            <w:vAlign w:val="bottom"/>
            <w:tcBorders>
              <w:top w:val="single" w:sz="8" w:color="0000EE"/>
            </w:tcBorders>
            <w:gridSpan w:val="3"/>
          </w:tcPr>
          <w:p>
            <w:pPr>
              <w:spacing w:after="0"/>
              <w:rPr>
                <w:sz w:val="13"/>
                <w:szCs w:val="13"/>
                <w:color w:val="auto"/>
              </w:rPr>
            </w:pPr>
          </w:p>
        </w:tc>
        <w:tc>
          <w:tcPr>
            <w:tcW w:w="4280" w:type="dxa"/>
            <w:vAlign w:val="bottom"/>
            <w:gridSpan w:val="4"/>
          </w:tcPr>
          <w:p>
            <w:pPr>
              <w:spacing w:after="0"/>
              <w:rPr>
                <w:sz w:val="13"/>
                <w:szCs w:val="13"/>
                <w:color w:val="auto"/>
              </w:rPr>
            </w:pP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w:t>
            </w:r>
          </w:p>
        </w:tc>
      </w:tr>
      <w:tr>
        <w:trPr>
          <w:trHeight w:val="150"/>
        </w:trPr>
        <w:tc>
          <w:tcPr>
            <w:tcW w:w="680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w:t>
            </w:r>
          </w:p>
        </w:tc>
      </w:tr>
      <w:tr>
        <w:trPr>
          <w:trHeight w:val="150"/>
        </w:trPr>
        <w:tc>
          <w:tcPr>
            <w:tcW w:w="1140" w:type="dxa"/>
            <w:vAlign w:val="bottom"/>
            <w:tcBorders>
              <w:top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5660" w:type="dxa"/>
            <w:vAlign w:val="bottom"/>
            <w:gridSpan w:val="9"/>
          </w:tcPr>
          <w:p>
            <w:pPr>
              <w:spacing w:after="0"/>
              <w:rPr>
                <w:sz w:val="13"/>
                <w:szCs w:val="13"/>
                <w:color w:val="auto"/>
              </w:rPr>
            </w:pPr>
          </w:p>
        </w:tc>
        <w:tc>
          <w:tcPr>
            <w:tcW w:w="18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15</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the Parent filed with the Securities and Exchange Commission (the</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as a “well-known seasoned issuer” as defined in Rule 405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using a “shelf”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registration process. Under this process, the Issuers may, from time to time, in one or more offerings, sell debt securities fully and unconditionally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guaranteed by the Parent. This prospectus only provides you with a general description of the securities that the Issuers and Parent may offer. Each time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Issuers and Parent sell securities, we will provide a supplement to this prospectus that contains specific information about the terms of that offering,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including the specific amounts, prices and terms of the securities offered. The prospectus supplement may also add, update or change information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contained in this prospectus. You should carefully read both this prospectus, any accompanying prospectus supplement and any free writing prospectus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prepared by or on behalf of us, together with the additional information described under the heading “Where You Can Find More Information.”</w:t>
      </w:r>
    </w:p>
    <w:p>
      <w:pPr>
        <w:spacing w:after="0" w:line="165" w:lineRule="exact"/>
        <w:rPr>
          <w:sz w:val="20"/>
          <w:szCs w:val="20"/>
          <w:color w:val="auto"/>
        </w:rPr>
      </w:pPr>
    </w:p>
    <w:p>
      <w:pPr>
        <w:ind w:left="1300" w:right="219" w:firstLine="347"/>
        <w:spacing w:after="0" w:line="262" w:lineRule="auto"/>
        <w:rPr>
          <w:sz w:val="20"/>
          <w:szCs w:val="20"/>
          <w:color w:val="auto"/>
        </w:rPr>
      </w:pPr>
      <w:r>
        <w:rPr>
          <w:rFonts w:ascii="Times New Roman" w:cs="Times New Roman" w:eastAsia="Times New Roman" w:hAnsi="Times New Roman"/>
          <w:sz w:val="14"/>
          <w:szCs w:val="14"/>
          <w:color w:val="auto"/>
        </w:rPr>
        <w:t>None of the Issuers or the Parent has authorized anyone to provide you with any information other than that contained in or incorporated by reference into this prospectus, any accompanying prospectus supplement and any free writing prospectus prepared by or on behalf of the Issuers and the Parent. None of the Issuers or the Parent take any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43" w:lineRule="exact"/>
        <w:rPr>
          <w:sz w:val="20"/>
          <w:szCs w:val="20"/>
          <w:color w:val="auto"/>
        </w:rPr>
      </w:pPr>
    </w:p>
    <w:p>
      <w:pPr>
        <w:ind w:left="1300" w:right="579" w:firstLine="347"/>
        <w:spacing w:after="0" w:line="288"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122" w:lineRule="exact"/>
        <w:rPr>
          <w:sz w:val="20"/>
          <w:szCs w:val="20"/>
          <w:color w:val="auto"/>
        </w:rPr>
      </w:pPr>
    </w:p>
    <w:p>
      <w:pPr>
        <w:ind w:left="1300" w:right="579" w:firstLine="347"/>
        <w:spacing w:after="0" w:line="291" w:lineRule="auto"/>
        <w:rPr>
          <w:sz w:val="20"/>
          <w:szCs w:val="20"/>
          <w:color w:val="auto"/>
        </w:rPr>
      </w:pPr>
      <w:r>
        <w:rPr>
          <w:rFonts w:ascii="Times New Roman" w:cs="Times New Roman" w:eastAsia="Times New Roman" w:hAnsi="Times New Roman"/>
          <w:sz w:val="14"/>
          <w:szCs w:val="14"/>
          <w:color w:val="auto"/>
        </w:rPr>
        <w:t>When used in this prospectus, the terms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“we,” “our” and “us” refer to NXP B.V. and its consolidated subsidiaries or to the Issuers, taken together, as the context requires.</w:t>
      </w:r>
    </w:p>
    <w:p>
      <w:pPr>
        <w:spacing w:after="0" w:line="6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1" w:lineRule="exact"/>
        <w:rPr>
          <w:sz w:val="20"/>
          <w:szCs w:val="20"/>
          <w:color w:val="auto"/>
        </w:rPr>
      </w:pPr>
    </w:p>
    <w:p>
      <w:pPr>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The Issuers are not currently subject to the periodic reporting and other information requirements of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xml:space="preserve">”). However, the Parent is subject to the informational and reporting requirements of the Exchange Act, and, in accordance therewith, files or furnishes annual, quarterly and current reports and other information with the SEC. The reports and other information filed or furnished by the Parent with the SEC pursuant to the requirements of the Exchange Act may be viewed on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The information contained on or accessible through the SEC’s website is expressly not incorporated by reference into this prospectus.</w:t>
      </w:r>
    </w:p>
    <w:p>
      <w:pPr>
        <w:spacing w:after="0" w:line="143" w:lineRule="exact"/>
        <w:rPr>
          <w:sz w:val="20"/>
          <w:szCs w:val="20"/>
          <w:color w:val="auto"/>
        </w:rPr>
      </w:pPr>
    </w:p>
    <w:p>
      <w:pPr>
        <w:jc w:val="both"/>
        <w:ind w:left="1300" w:right="219" w:firstLine="347"/>
        <w:spacing w:after="0" w:line="265" w:lineRule="auto"/>
        <w:rPr>
          <w:sz w:val="20"/>
          <w:szCs w:val="20"/>
          <w:color w:val="auto"/>
        </w:rPr>
      </w:pPr>
      <w:r>
        <w:rPr>
          <w:rFonts w:ascii="Times New Roman" w:cs="Times New Roman" w:eastAsia="Times New Roman" w:hAnsi="Times New Roman"/>
          <w:sz w:val="14"/>
          <w:szCs w:val="14"/>
          <w:color w:val="auto"/>
        </w:rPr>
        <w:t>The SEC allows us to disclose important information to you by referring you to other documents filed by the Parent separately with the SEC. This information is considered to be a part of this prospectus and any accompanying prospectus supplement, except for any information that is superseded by information included directly in this prospectus or any accompanying prospectus supplement or incorporated by reference subsequent to the date of this prospectus as described below.</w:t>
      </w:r>
    </w:p>
    <w:p>
      <w:pPr>
        <w:spacing w:after="0" w:line="140" w:lineRule="exact"/>
        <w:rPr>
          <w:sz w:val="20"/>
          <w:szCs w:val="20"/>
          <w:color w:val="auto"/>
        </w:rPr>
      </w:pPr>
    </w:p>
    <w:p>
      <w:pPr>
        <w:ind w:left="1300" w:right="379" w:firstLine="347"/>
        <w:spacing w:after="0" w:line="271"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the Parent has previously filed with the SEC (other than information deemed furnished and not filed in accordance with SEC rules, including Items 2.02 and 7.01 of Form 8-K).</w:t>
      </w:r>
    </w:p>
    <w:p>
      <w:pPr>
        <w:spacing w:after="0" w:line="61" w:lineRule="exact"/>
        <w:rPr>
          <w:sz w:val="20"/>
          <w:szCs w:val="20"/>
          <w:color w:val="auto"/>
        </w:rPr>
      </w:pPr>
    </w:p>
    <w:p>
      <w:pPr>
        <w:ind w:left="2060" w:hanging="331"/>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Reports on Form 10-Q for the fiscal quarters ended </w:t>
      </w:r>
      <w:hyperlink r:id="rId30">
        <w:r>
          <w:rPr>
            <w:rFonts w:ascii="Times New Roman" w:cs="Times New Roman" w:eastAsia="Times New Roman" w:hAnsi="Times New Roman"/>
            <w:sz w:val="14"/>
            <w:szCs w:val="14"/>
            <w:u w:val="single" w:color="auto"/>
            <w:color w:val="0000EE"/>
          </w:rPr>
          <w:t>March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1">
        <w:r>
          <w:rPr>
            <w:rFonts w:ascii="Times New Roman" w:cs="Times New Roman" w:eastAsia="Times New Roman" w:hAnsi="Times New Roman"/>
            <w:sz w:val="14"/>
            <w:szCs w:val="14"/>
            <w:u w:val="single" w:color="auto"/>
            <w:color w:val="0000EE"/>
          </w:rPr>
          <w:t>June 29, 2025</w:t>
        </w:r>
      </w:hyperlink>
      <w:r>
        <w:rPr>
          <w:rFonts w:ascii="Times New Roman" w:cs="Times New Roman" w:eastAsia="Times New Roman" w:hAnsi="Times New Roman"/>
          <w:sz w:val="14"/>
          <w:szCs w:val="14"/>
          <w:color w:val="auto"/>
        </w:rPr>
        <w:t>;</w:t>
      </w:r>
    </w:p>
    <w:p>
      <w:pPr>
        <w:spacing w:after="0" w:line="105" w:lineRule="exact"/>
        <w:rPr>
          <w:rFonts w:ascii="Times New Roman" w:cs="Times New Roman" w:eastAsia="Times New Roman" w:hAnsi="Times New Roman"/>
          <w:sz w:val="14"/>
          <w:szCs w:val="14"/>
          <w:color w:val="auto"/>
        </w:rPr>
      </w:pPr>
    </w:p>
    <w:p>
      <w:pPr>
        <w:ind w:left="2060" w:right="339" w:hanging="331"/>
        <w:spacing w:after="0" w:line="288" w:lineRule="auto"/>
        <w:tabs>
          <w:tab w:leader="none" w:pos="2060" w:val="left"/>
        </w:tabs>
        <w:numPr>
          <w:ilvl w:val="0"/>
          <w:numId w:val="1"/>
        </w:numPr>
        <w:rPr>
          <w:rFonts w:ascii="Times New Roman" w:cs="Times New Roman" w:eastAsia="Times New Roman" w:hAnsi="Times New Roman"/>
          <w:sz w:val="14"/>
          <w:szCs w:val="14"/>
          <w:color w:val="0000EE"/>
        </w:rPr>
      </w:pPr>
      <w:hyperlink r:id="rId32">
        <w:r>
          <w:rPr>
            <w:rFonts w:ascii="Times New Roman" w:cs="Times New Roman" w:eastAsia="Times New Roman" w:hAnsi="Times New Roman"/>
            <w:sz w:val="14"/>
            <w:szCs w:val="14"/>
            <w:color w:val="auto"/>
          </w:rPr>
          <w:t xml:space="preserve">Current Reports on Form 8-K filed with the SEC on </w:t>
        </w:r>
        <w:r>
          <w:rPr>
            <w:rFonts w:ascii="Times New Roman" w:cs="Times New Roman" w:eastAsia="Times New Roman" w:hAnsi="Times New Roman"/>
            <w:sz w:val="14"/>
            <w:szCs w:val="14"/>
            <w:u w:val="single" w:color="auto"/>
            <w:color w:val="0000EE"/>
          </w:rPr>
          <w:t>January 7,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13,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10,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6,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28,</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(excluding Item 2.02) and</w:t>
        </w:r>
        <w:r>
          <w:rPr>
            <w:rFonts w:ascii="Times New Roman" w:cs="Times New Roman" w:eastAsia="Times New Roman" w:hAnsi="Times New Roman"/>
            <w:sz w:val="14"/>
            <w:szCs w:val="14"/>
            <w:color w:val="0000EE"/>
          </w:rPr>
          <w:t xml:space="preserve"> </w:t>
        </w:r>
      </w:hyperlink>
      <w:hyperlink r:id="rId33">
        <w:r>
          <w:rPr>
            <w:rFonts w:ascii="Times New Roman" w:cs="Times New Roman" w:eastAsia="Times New Roman" w:hAnsi="Times New Roman"/>
            <w:sz w:val="14"/>
            <w:szCs w:val="14"/>
            <w:u w:val="single" w:color="auto"/>
            <w:color w:val="0000EE"/>
          </w:rPr>
          <w:t>June 12, 2025</w:t>
        </w:r>
      </w:hyperlink>
      <w:hyperlink r:id="rId32">
        <w:r>
          <w:rPr>
            <w:rFonts w:ascii="Times New Roman" w:cs="Times New Roman" w:eastAsia="Times New Roman" w:hAnsi="Times New Roman"/>
            <w:sz w:val="14"/>
            <w:szCs w:val="14"/>
            <w:color w:val="000000"/>
          </w:rPr>
          <w:t>; and</w:t>
        </w:r>
      </w:hyperlink>
    </w:p>
    <w:p>
      <w:pPr>
        <w:spacing w:after="0" w:line="49" w:lineRule="exact"/>
        <w:rPr>
          <w:rFonts w:ascii="Times New Roman" w:cs="Times New Roman" w:eastAsia="Times New Roman" w:hAnsi="Times New Roman"/>
          <w:sz w:val="14"/>
          <w:szCs w:val="14"/>
          <w:color w:val="0000EE"/>
        </w:rPr>
      </w:pPr>
    </w:p>
    <w:p>
      <w:pPr>
        <w:ind w:left="2060" w:right="299" w:hanging="331"/>
        <w:spacing w:after="0" w:line="288" w:lineRule="auto"/>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the Parent’s Definitive Proxy Statement on </w:t>
      </w:r>
      <w:hyperlink r:id="rId34">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April 29, 2025 that were incorporated by reference into the Parent’s Annual Report on </w:t>
      </w:r>
      <w:hyperlink r:id="rId2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w:t>
      </w:r>
    </w:p>
    <w:p>
      <w:pPr>
        <w:spacing w:after="0" w:line="124" w:lineRule="exact"/>
        <w:rPr>
          <w:rFonts w:ascii="Times New Roman" w:cs="Times New Roman" w:eastAsia="Times New Roman" w:hAnsi="Times New Roman"/>
          <w:sz w:val="14"/>
          <w:szCs w:val="14"/>
          <w:color w:val="auto"/>
        </w:rPr>
      </w:pPr>
    </w:p>
    <w:p>
      <w:pPr>
        <w:ind w:left="1300" w:right="259" w:firstLine="347"/>
        <w:spacing w:after="0" w:line="259" w:lineRule="auto"/>
        <w:rPr>
          <w:sz w:val="20"/>
          <w:szCs w:val="20"/>
          <w:color w:val="auto"/>
        </w:rPr>
      </w:pPr>
      <w:r>
        <w:rPr>
          <w:rFonts w:ascii="Times New Roman" w:cs="Times New Roman" w:eastAsia="Times New Roman" w:hAnsi="Times New Roman"/>
          <w:sz w:val="14"/>
          <w:szCs w:val="14"/>
          <w:color w:val="auto"/>
        </w:rPr>
        <w:t>In addition, we incorporate by reference any future filings the Parent makes with the SEC under Sections 13(a), 13(c), 14 and 15(d) of the Exchange Act after the date of this prospectus (excluding any current reports on Form 8-K to the extent disclosure is furnished and not filed). Those documents are considered to be a part of this prospectus and any accompanying prospectus supplement, effective as of the date they are filed. Any statement contained in this prospectus, any accompanying prospectus supplement or in a document incorporated by reference herein shall be deemed to be modified or superseded for purposes of 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w:t>
      </w:r>
    </w:p>
    <w:p>
      <w:pPr>
        <w:spacing w:after="0" w:line="146" w:lineRule="exact"/>
        <w:rPr>
          <w:rFonts w:ascii="Times New Roman" w:cs="Times New Roman" w:eastAsia="Times New Roman" w:hAnsi="Times New Roman"/>
          <w:sz w:val="14"/>
          <w:szCs w:val="14"/>
          <w:color w:val="auto"/>
        </w:rPr>
      </w:pPr>
    </w:p>
    <w:p>
      <w:pPr>
        <w:ind w:left="1300" w:right="279" w:firstLine="347"/>
        <w:spacing w:after="0" w:line="265" w:lineRule="auto"/>
        <w:rPr>
          <w:sz w:val="20"/>
          <w:szCs w:val="20"/>
          <w:color w:val="auto"/>
        </w:rPr>
      </w:pPr>
      <w:r>
        <w:rPr>
          <w:rFonts w:ascii="Times New Roman" w:cs="Times New Roman" w:eastAsia="Times New Roman" w:hAnsi="Times New Roman"/>
          <w:sz w:val="14"/>
          <w:szCs w:val="14"/>
          <w:color w:val="auto"/>
        </w:rPr>
        <w:t>All documents filed by the Parent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40" w:lineRule="exact"/>
        <w:rPr>
          <w:rFonts w:ascii="Times New Roman" w:cs="Times New Roman" w:eastAsia="Times New Roman" w:hAnsi="Times New Roman"/>
          <w:sz w:val="14"/>
          <w:szCs w:val="14"/>
          <w:color w:val="auto"/>
        </w:rPr>
      </w:pPr>
    </w:p>
    <w:p>
      <w:pPr>
        <w:ind w:left="1300" w:right="379" w:firstLine="347"/>
        <w:spacing w:after="0" w:line="265"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55" w:lineRule="exact"/>
        <w:rPr>
          <w:rFonts w:ascii="Times New Roman" w:cs="Times New Roman" w:eastAsia="Times New Roman" w:hAnsi="Times New Roman"/>
          <w:sz w:val="14"/>
          <w:szCs w:val="14"/>
          <w:color w:val="auto"/>
        </w:rPr>
      </w:pPr>
    </w:p>
    <w:p>
      <w:pPr>
        <w:ind w:left="2440"/>
        <w:spacing w:after="0"/>
        <w:rPr>
          <w:sz w:val="20"/>
          <w:szCs w:val="20"/>
          <w:color w:val="auto"/>
        </w:rPr>
      </w:pPr>
      <w:r>
        <w:rPr>
          <w:rFonts w:ascii="Times New Roman" w:cs="Times New Roman" w:eastAsia="Times New Roman" w:hAnsi="Times New Roman"/>
          <w:sz w:val="14"/>
          <w:szCs w:val="14"/>
          <w:color w:val="auto"/>
        </w:rPr>
        <w:t>NXP Semiconductors N.V.</w:t>
      </w:r>
    </w:p>
    <w:p>
      <w:pPr>
        <w:spacing w:after="0" w:line="23" w:lineRule="exact"/>
        <w:rPr>
          <w:rFonts w:ascii="Times New Roman" w:cs="Times New Roman" w:eastAsia="Times New Roman" w:hAnsi="Times New Roman"/>
          <w:sz w:val="14"/>
          <w:szCs w:val="14"/>
          <w:color w:val="auto"/>
        </w:rPr>
      </w:pPr>
    </w:p>
    <w:p>
      <w:pPr>
        <w:ind w:left="2440"/>
        <w:spacing w:after="0"/>
        <w:rPr>
          <w:sz w:val="20"/>
          <w:szCs w:val="20"/>
          <w:color w:val="auto"/>
        </w:rPr>
      </w:pPr>
      <w:r>
        <w:rPr>
          <w:rFonts w:ascii="Times New Roman" w:cs="Times New Roman" w:eastAsia="Times New Roman" w:hAnsi="Times New Roman"/>
          <w:sz w:val="14"/>
          <w:szCs w:val="14"/>
          <w:color w:val="auto"/>
        </w:rPr>
        <w:t>High Tech Campus 60</w:t>
      </w:r>
    </w:p>
    <w:p>
      <w:pPr>
        <w:spacing w:after="0" w:line="9" w:lineRule="exact"/>
        <w:rPr>
          <w:rFonts w:ascii="Times New Roman" w:cs="Times New Roman" w:eastAsia="Times New Roman" w:hAnsi="Times New Roman"/>
          <w:sz w:val="14"/>
          <w:szCs w:val="14"/>
          <w:color w:val="auto"/>
        </w:rPr>
      </w:pPr>
    </w:p>
    <w:p>
      <w:pPr>
        <w:ind w:left="2440"/>
        <w:spacing w:after="0"/>
        <w:rPr>
          <w:sz w:val="20"/>
          <w:szCs w:val="20"/>
          <w:color w:val="auto"/>
        </w:rPr>
      </w:pPr>
      <w:r>
        <w:rPr>
          <w:rFonts w:ascii="Times New Roman" w:cs="Times New Roman" w:eastAsia="Times New Roman" w:hAnsi="Times New Roman"/>
          <w:sz w:val="14"/>
          <w:szCs w:val="14"/>
          <w:color w:val="auto"/>
        </w:rPr>
        <w:t>5656 AG Eindhoven</w:t>
      </w:r>
    </w:p>
    <w:p>
      <w:pPr>
        <w:spacing w:after="0" w:line="9" w:lineRule="exact"/>
        <w:rPr>
          <w:rFonts w:ascii="Times New Roman" w:cs="Times New Roman" w:eastAsia="Times New Roman" w:hAnsi="Times New Roman"/>
          <w:sz w:val="14"/>
          <w:szCs w:val="14"/>
          <w:color w:val="auto"/>
        </w:rPr>
      </w:pPr>
    </w:p>
    <w:p>
      <w:pPr>
        <w:ind w:left="2440"/>
        <w:spacing w:after="0"/>
        <w:rPr>
          <w:sz w:val="20"/>
          <w:szCs w:val="20"/>
          <w:color w:val="auto"/>
        </w:rPr>
      </w:pPr>
      <w:r>
        <w:rPr>
          <w:rFonts w:ascii="Times New Roman" w:cs="Times New Roman" w:eastAsia="Times New Roman" w:hAnsi="Times New Roman"/>
          <w:sz w:val="14"/>
          <w:szCs w:val="14"/>
          <w:color w:val="auto"/>
        </w:rPr>
        <w:t>The Netherlands</w:t>
      </w:r>
    </w:p>
    <w:p>
      <w:pPr>
        <w:spacing w:after="0" w:line="112"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ind w:left="1300" w:right="219" w:firstLine="347"/>
        <w:spacing w:after="0" w:line="257" w:lineRule="auto"/>
        <w:rPr>
          <w:sz w:val="20"/>
          <w:szCs w:val="20"/>
          <w:color w:val="auto"/>
        </w:rPr>
      </w:pPr>
      <w:r>
        <w:rPr>
          <w:rFonts w:ascii="Times New Roman" w:cs="Times New Roman" w:eastAsia="Times New Roman" w:hAnsi="Times New Roman"/>
          <w:sz w:val="14"/>
          <w:szCs w:val="14"/>
          <w:color w:val="auto"/>
        </w:rPr>
        <w:t>This prospectus, any prospectus supplement, any related free writing prospectus or any document incorporated by reference herein and therein may contain forward-looking statements, which are provided under the “safe harbor” protection of the Private Securities Litigation Reform Act of 1995. When used in this prospectus, any prospectus supplement, any related free writing prospectus or any document incorporated by reference herein and therein, the words “anticipate”, “believe”, “estimate”, “forecast”, “expect”, “intend”, “plan” and “project” and similar expressions, as they relate to us, our management or third parties, identify forward-looking statements. Forward-looking statements include statements regarding our business strategy, financial condition, results of operations, market data as well as any other statements that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These factors, risks and uncertainties expressly qualify all subsequent oral and written forward-looking statements attributable to us or persons acting on our behalf and include the following:</w:t>
      </w:r>
    </w:p>
    <w:p>
      <w:pPr>
        <w:spacing w:after="0" w:line="74" w:lineRule="exact"/>
        <w:rPr>
          <w:sz w:val="20"/>
          <w:szCs w:val="20"/>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demand and semiconductor industry conditions;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introduce new technologies and products;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the goods into which our products are incorporated;</w:t>
      </w:r>
    </w:p>
    <w:p>
      <w:pPr>
        <w:spacing w:after="0" w:line="105" w:lineRule="exact"/>
        <w:rPr>
          <w:rFonts w:ascii="Times New Roman" w:cs="Times New Roman" w:eastAsia="Times New Roman" w:hAnsi="Times New Roman"/>
          <w:sz w:val="14"/>
          <w:szCs w:val="14"/>
          <w:color w:val="auto"/>
        </w:rPr>
      </w:pPr>
    </w:p>
    <w:p>
      <w:pPr>
        <w:ind w:left="2060" w:right="219" w:hanging="331"/>
        <w:spacing w:after="0" w:line="288"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trade disputes, potential increase of barriers to international trade, including the imposition of new or increased tariffs, and resulting disruptions to our established supply chains;</w:t>
      </w:r>
    </w:p>
    <w:p>
      <w:pPr>
        <w:spacing w:after="0" w:line="49" w:lineRule="exact"/>
        <w:rPr>
          <w:rFonts w:ascii="Times New Roman" w:cs="Times New Roman" w:eastAsia="Times New Roman" w:hAnsi="Times New Roman"/>
          <w:sz w:val="14"/>
          <w:szCs w:val="14"/>
          <w:color w:val="auto"/>
        </w:rPr>
      </w:pPr>
    </w:p>
    <w:p>
      <w:pPr>
        <w:ind w:left="2060" w:right="219" w:hanging="331"/>
        <w:spacing w:after="0" w:line="288"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actions and regulations, including as a result of executive orders, including restrictions on the export of products and technology;</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and evolving cybersecurity threats and privacy risks;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estimate demand and match our production capacity accordingly or obtain supplies from third-party producers;</w:t>
      </w:r>
    </w:p>
    <w:p>
      <w:pPr>
        <w:spacing w:after="0" w:line="105" w:lineRule="exact"/>
        <w:rPr>
          <w:rFonts w:ascii="Times New Roman" w:cs="Times New Roman" w:eastAsia="Times New Roman" w:hAnsi="Times New Roman"/>
          <w:sz w:val="14"/>
          <w:szCs w:val="14"/>
          <w:color w:val="auto"/>
        </w:rPr>
      </w:pPr>
    </w:p>
    <w:p>
      <w:pPr>
        <w:ind w:left="2060" w:right="499" w:hanging="331"/>
        <w:spacing w:after="0" w:line="288"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access to production from third-party outsourcing partners, and any events that might affect their business or our relationship with them;</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adequate and timely supply of equipment and materials from suppliers;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avoid operational problems and product defects and, if such issues were to arise, to correct them quickly;</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form strategic partnerships and joint ventures and successfully cooperate with our strategic alliance partners;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win competitive bid selection processes;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products for use in our customers’ equipment and products;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hire and retain key management and senior product engineers;</w:t>
      </w:r>
    </w:p>
    <w:p>
      <w:pPr>
        <w:spacing w:after="0" w:line="104" w:lineRule="exact"/>
        <w:rPr>
          <w:rFonts w:ascii="Times New Roman" w:cs="Times New Roman" w:eastAsia="Times New Roman" w:hAnsi="Times New Roman"/>
          <w:sz w:val="14"/>
          <w:szCs w:val="14"/>
          <w:color w:val="auto"/>
        </w:rPr>
      </w:pPr>
    </w:p>
    <w:p>
      <w:pPr>
        <w:ind w:left="2060" w:right="539" w:hanging="331"/>
        <w:spacing w:after="0" w:line="271"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hostilities, including the invasion of Ukraine by Russia and resulting regional instability, sanctions and any other retaliatory measures taken against Russia, and the continued hostilities and armed conflict in the Middle East, which could adversely impact the global supply chain, disrupt our operations or negatively impact the demand for our products in our primary end markets;</w:t>
      </w:r>
    </w:p>
    <w:p>
      <w:pPr>
        <w:spacing w:after="0" w:line="61"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good relationships with our suppliers;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integrate acquired businesses in an efficient and effective manner;</w:t>
      </w:r>
    </w:p>
    <w:p>
      <w:pPr>
        <w:spacing w:after="0" w:line="1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9"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060" w:right="299" w:hanging="331"/>
        <w:spacing w:after="0" w:line="288"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sufficient cash, raise sufficient capital or refinance our debt at or before maturity to meet our debt service, research and development and capital investment requirements; and</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tax laws could have an effect on our estimated effective tax rates.</w:t>
      </w:r>
    </w:p>
    <w:p>
      <w:pPr>
        <w:spacing w:after="0" w:line="179" w:lineRule="exact"/>
        <w:rPr>
          <w:sz w:val="20"/>
          <w:szCs w:val="20"/>
          <w:color w:val="auto"/>
        </w:rPr>
      </w:pPr>
    </w:p>
    <w:p>
      <w:pPr>
        <w:ind w:left="1300" w:right="179" w:firstLine="347"/>
        <w:spacing w:after="0" w:line="257" w:lineRule="auto"/>
        <w:rPr>
          <w:sz w:val="20"/>
          <w:szCs w:val="20"/>
          <w:color w:val="auto"/>
        </w:rPr>
      </w:pPr>
      <w:r>
        <w:rPr>
          <w:rFonts w:ascii="Times New Roman" w:cs="Times New Roman" w:eastAsia="Times New Roman" w:hAnsi="Times New Roman"/>
          <w:sz w:val="14"/>
          <w:szCs w:val="14"/>
          <w:color w:val="auto"/>
        </w:rPr>
        <w:t>In addition, this prospectus contains or incorporates by reference information concerning the semiconductor industry, our end markets and business generally, which is forward-looking in nature and is based on a variety of assumptions regarding the ways in which the semiconductor industry, our end markets and business will develop. We have based these assumptions on information currently available to us, including through the market research and industry reports referred to in this prospectus or any document incorporated by reference herein.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our common stock. Readers are cautioned not to place undue reliance on these forward-looking statements, which speak to results only as of the date the statements were made. Except for any ongoing obligation to disclose material information as required by the United States federal securities laws, we do not have any intention or obligation to publicly update or revise any forward-looking statements made in this prospectus, any prospectus supplement or any related free writing prospectus, whether to reflect any future events or circumstances or otherwise.</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9"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81" w:lineRule="exact"/>
        <w:rPr>
          <w:sz w:val="20"/>
          <w:szCs w:val="20"/>
          <w:color w:val="auto"/>
        </w:rPr>
      </w:pPr>
    </w:p>
    <w:p>
      <w:pPr>
        <w:ind w:left="1300" w:right="279" w:firstLine="347"/>
        <w:spacing w:after="0" w:line="259" w:lineRule="auto"/>
        <w:rPr>
          <w:sz w:val="20"/>
          <w:szCs w:val="20"/>
          <w:color w:val="auto"/>
        </w:rPr>
      </w:pPr>
      <w:r>
        <w:rPr>
          <w:rFonts w:ascii="Times New Roman" w:cs="Times New Roman" w:eastAsia="Times New Roman" w:hAnsi="Times New Roman"/>
          <w:sz w:val="14"/>
          <w:szCs w:val="14"/>
          <w:color w:val="auto"/>
        </w:rPr>
        <w:t>We are a global semiconductor company and a long-standing supplier in the industry, with over 70 years of innovation and operating history. We provide leading solutions that leverage our combined portfolio of intellectual property, deep application knowledge, process technology and manufacturing expertise in the domains of cryptography-security, high-speed interface, radio frequency, mixed-signal analog-digital, power management, digital signal processing and embedded system design. Our product solutions are used in a wide range of end market applications including: automotive, industrial &amp; Internet of Things, mobile, and communication infrastructure. We engage with leading global original equipment manufacturers and sell products in all major geographic regions. As of December 31, 2024 we had approximately 33,100 employees, with research and development activities and manufacturing facilities in Asia, Europe and the United States.</w:t>
      </w:r>
    </w:p>
    <w:p>
      <w:pPr>
        <w:spacing w:after="0" w:line="1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For the fiscal quarter ended June 29, 2025, we generated revenue of $2,926 million and operating income of $687 million.</w:t>
      </w:r>
    </w:p>
    <w:p>
      <w:pPr>
        <w:spacing w:after="0" w:line="179" w:lineRule="exact"/>
        <w:rPr>
          <w:sz w:val="20"/>
          <w:szCs w:val="20"/>
          <w:color w:val="auto"/>
        </w:rPr>
      </w:pPr>
    </w:p>
    <w:p>
      <w:pPr>
        <w:ind w:left="1300" w:right="279" w:firstLine="347"/>
        <w:spacing w:after="0" w:line="271" w:lineRule="auto"/>
        <w:rPr>
          <w:sz w:val="20"/>
          <w:szCs w:val="20"/>
          <w:color w:val="auto"/>
        </w:rPr>
      </w:pPr>
      <w:r>
        <w:rPr>
          <w:rFonts w:ascii="Times New Roman" w:cs="Times New Roman" w:eastAsia="Times New Roman" w:hAnsi="Times New Roman"/>
          <w:sz w:val="14"/>
          <w:szCs w:val="14"/>
          <w:color w:val="auto"/>
        </w:rPr>
        <w:t>Our corporate seat is in Eindhoven, the Netherlands. Our executive office is at High Tech Campus 60, 5656 AG Eindhoven, the Netherlands, and our telephone number is +31 40 2729999. Our registered agent in the United States is NXP USA, Inc., 6501 William Cannon Dr. West, Austin, Texas 78735, United States of America, phone number +1 512 933 8214.</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INFORMATION REGARDING THE ISSUERS</w:t>
      </w:r>
    </w:p>
    <w:p>
      <w:pPr>
        <w:spacing w:after="0" w:line="179" w:lineRule="exact"/>
        <w:rPr>
          <w:sz w:val="20"/>
          <w:szCs w:val="20"/>
          <w:color w:val="auto"/>
        </w:rPr>
      </w:pPr>
    </w:p>
    <w:p>
      <w:pPr>
        <w:ind w:left="1300" w:right="239" w:firstLine="347"/>
        <w:spacing w:after="0" w:line="259" w:lineRule="auto"/>
        <w:rPr>
          <w:sz w:val="20"/>
          <w:szCs w:val="20"/>
          <w:color w:val="auto"/>
        </w:rPr>
      </w:pPr>
      <w:r>
        <w:rPr>
          <w:rFonts w:ascii="Times New Roman" w:cs="Times New Roman" w:eastAsia="Times New Roman" w:hAnsi="Times New Roman"/>
          <w:sz w:val="14"/>
          <w:szCs w:val="14"/>
          <w:color w:val="auto"/>
        </w:rPr>
        <w:t>NXP B.V. was incorporated in the Netherlands as a Dutch private company with limited liability (</w:t>
      </w:r>
      <w:r>
        <w:rPr>
          <w:rFonts w:ascii="Times New Roman" w:cs="Times New Roman" w:eastAsia="Times New Roman" w:hAnsi="Times New Roman"/>
          <w:sz w:val="14"/>
          <w:szCs w:val="14"/>
          <w:i w:val="1"/>
          <w:iCs w:val="1"/>
          <w:color w:val="auto"/>
        </w:rPr>
        <w:t>besloten vennootschap met beperkte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aansprakelijkheid</w:t>
      </w:r>
      <w:r>
        <w:rPr>
          <w:rFonts w:ascii="Times New Roman" w:cs="Times New Roman" w:eastAsia="Times New Roman" w:hAnsi="Times New Roman"/>
          <w:sz w:val="14"/>
          <w:szCs w:val="14"/>
          <w:color w:val="auto"/>
        </w:rPr>
        <w:t>) on December 21, 1990 as a wholly owned subsidiary of Koninklijke Philips N.V. (“</w:t>
      </w:r>
      <w:r>
        <w:rPr>
          <w:rFonts w:ascii="Times New Roman" w:cs="Times New Roman" w:eastAsia="Times New Roman" w:hAnsi="Times New Roman"/>
          <w:sz w:val="14"/>
          <w:szCs w:val="14"/>
          <w:b w:val="1"/>
          <w:bCs w:val="1"/>
          <w:color w:val="auto"/>
        </w:rPr>
        <w:t>Philips</w:t>
      </w:r>
      <w:r>
        <w:rPr>
          <w:rFonts w:ascii="Times New Roman" w:cs="Times New Roman" w:eastAsia="Times New Roman" w:hAnsi="Times New Roman"/>
          <w:sz w:val="14"/>
          <w:szCs w:val="14"/>
          <w:color w:val="auto"/>
        </w:rPr>
        <w:t>”). On September 29, 2006, in connection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w:t>
      </w:r>
      <w:r>
        <w:rPr>
          <w:rFonts w:ascii="Times New Roman" w:cs="Times New Roman" w:eastAsia="Times New Roman" w:hAnsi="Times New Roman"/>
          <w:sz w:val="14"/>
          <w:szCs w:val="14"/>
          <w:b w:val="1"/>
          <w:bCs w:val="1"/>
          <w:color w:val="auto"/>
        </w:rPr>
        <w:t>Formation</w:t>
      </w:r>
      <w:r>
        <w:rPr>
          <w:rFonts w:ascii="Times New Roman" w:cs="Times New Roman" w:eastAsia="Times New Roman" w:hAnsi="Times New Roman"/>
          <w:sz w:val="14"/>
          <w:szCs w:val="14"/>
          <w:color w:val="auto"/>
        </w:rPr>
        <w:t>.”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w:t>
      </w:r>
    </w:p>
    <w:p>
      <w:pPr>
        <w:spacing w:after="0" w:line="1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NXP Funding LLC is a wholly owned subsidiary of the Company that was formed in Delaware as a limited liability company on September 11,</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2006. The address NXP Funding’s registered office in Delaware is 251 Little Falls Drive, Wilmington, Delaware 19808 and its telephone number is +1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512 933 8214.</w:t>
      </w:r>
    </w:p>
    <w:p>
      <w:pPr>
        <w:spacing w:after="0" w:line="165" w:lineRule="exact"/>
        <w:rPr>
          <w:sz w:val="20"/>
          <w:szCs w:val="20"/>
          <w:color w:val="auto"/>
        </w:rPr>
      </w:pPr>
    </w:p>
    <w:p>
      <w:pPr>
        <w:jc w:val="both"/>
        <w:ind w:left="1300" w:right="199" w:firstLine="347"/>
        <w:spacing w:after="0" w:line="271" w:lineRule="auto"/>
        <w:rPr>
          <w:sz w:val="20"/>
          <w:szCs w:val="20"/>
          <w:color w:val="auto"/>
        </w:rPr>
      </w:pPr>
      <w:r>
        <w:rPr>
          <w:rFonts w:ascii="Times New Roman" w:cs="Times New Roman" w:eastAsia="Times New Roman" w:hAnsi="Times New Roman"/>
          <w:sz w:val="14"/>
          <w:szCs w:val="14"/>
          <w:color w:val="auto"/>
        </w:rPr>
        <w:t>NXP USA, Inc. is a wholly owned, indirect subsidiary of the Company that was incorporated in Delaware as a corporation on December 3, 2003. The address of NXP USA’s registered office in Delaware is 251 Little Falls Drive, Wilmington, Delaware 19808 and its telephone number is +1 512 933 8214.</w:t>
      </w:r>
    </w:p>
    <w:p>
      <w:pPr>
        <w:spacing w:after="0" w:line="136" w:lineRule="exact"/>
        <w:rPr>
          <w:sz w:val="20"/>
          <w:szCs w:val="20"/>
          <w:color w:val="auto"/>
        </w:rPr>
      </w:pPr>
    </w:p>
    <w:p>
      <w:pPr>
        <w:ind w:left="1300" w:right="259" w:firstLine="347"/>
        <w:spacing w:after="0" w:line="288" w:lineRule="auto"/>
        <w:rPr>
          <w:sz w:val="20"/>
          <w:szCs w:val="20"/>
          <w:color w:val="auto"/>
        </w:rPr>
      </w:pPr>
      <w:r>
        <w:rPr>
          <w:rFonts w:ascii="Times New Roman" w:cs="Times New Roman" w:eastAsia="Times New Roman" w:hAnsi="Times New Roman"/>
          <w:sz w:val="14"/>
          <w:szCs w:val="14"/>
          <w:color w:val="auto"/>
        </w:rPr>
        <w:t>On August 5, 2010, the Parent, the holding company of the Issuers, completed an initial public offering and listed on the NASDAQ Global Select Market.</w:t>
      </w:r>
    </w:p>
    <w:p>
      <w:pPr>
        <w:spacing w:after="0" w:line="124" w:lineRule="exact"/>
        <w:rPr>
          <w:sz w:val="20"/>
          <w:szCs w:val="20"/>
          <w:color w:val="auto"/>
        </w:rPr>
      </w:pPr>
    </w:p>
    <w:p>
      <w:pPr>
        <w:ind w:left="1300" w:right="319" w:firstLine="347"/>
        <w:spacing w:after="0" w:line="288" w:lineRule="auto"/>
        <w:rPr>
          <w:sz w:val="20"/>
          <w:szCs w:val="20"/>
          <w:color w:val="auto"/>
        </w:rPr>
      </w:pPr>
      <w:r>
        <w:rPr>
          <w:rFonts w:ascii="Times New Roman" w:cs="Times New Roman" w:eastAsia="Times New Roman" w:hAnsi="Times New Roman"/>
          <w:sz w:val="14"/>
          <w:szCs w:val="14"/>
          <w:color w:val="auto"/>
        </w:rPr>
        <w:t>The Parent’s website is at http://www.nxp.com. The information and other content contained on or accessible through our website are not part of this prospectus.</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9"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1" w:lineRule="exact"/>
        <w:rPr>
          <w:sz w:val="20"/>
          <w:szCs w:val="20"/>
          <w:color w:val="auto"/>
        </w:rPr>
      </w:pPr>
    </w:p>
    <w:p>
      <w:pPr>
        <w:ind w:left="1300" w:right="239" w:firstLine="347"/>
        <w:spacing w:after="0" w:line="260" w:lineRule="auto"/>
        <w:rPr>
          <w:sz w:val="20"/>
          <w:szCs w:val="20"/>
          <w:color w:val="auto"/>
        </w:rPr>
      </w:pPr>
      <w:r>
        <w:rPr>
          <w:rFonts w:ascii="Times New Roman" w:cs="Times New Roman" w:eastAsia="Times New Roman" w:hAnsi="Times New Roman"/>
          <w:sz w:val="14"/>
          <w:szCs w:val="14"/>
          <w:color w:val="auto"/>
        </w:rPr>
        <w:t>Investing in our securities involves risk. See the risk factors described in the Parent’s most recent annual report on Form 10-K (together with any material changes thereto contained in subsequently filed quarterly reports on Form 10-Q) and those contained in the Parent’s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1" w:lineRule="exact"/>
        <w:rPr>
          <w:sz w:val="20"/>
          <w:szCs w:val="20"/>
          <w:color w:val="auto"/>
        </w:rPr>
      </w:pPr>
    </w:p>
    <w:p>
      <w:pPr>
        <w:ind w:left="1300" w:right="619" w:firstLine="347"/>
        <w:spacing w:after="0" w:line="288"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9"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1" w:lineRule="exact"/>
        <w:rPr>
          <w:sz w:val="20"/>
          <w:szCs w:val="20"/>
          <w:color w:val="auto"/>
        </w:rPr>
      </w:pPr>
    </w:p>
    <w:p>
      <w:pPr>
        <w:ind w:left="1300" w:right="259" w:firstLine="347"/>
        <w:spacing w:after="0" w:line="288" w:lineRule="auto"/>
        <w:rPr>
          <w:sz w:val="20"/>
          <w:szCs w:val="20"/>
          <w:color w:val="auto"/>
        </w:rPr>
      </w:pPr>
      <w:r>
        <w:rPr>
          <w:rFonts w:ascii="Times New Roman" w:cs="Times New Roman" w:eastAsia="Times New Roman" w:hAnsi="Times New Roman"/>
          <w:sz w:val="14"/>
          <w:szCs w:val="14"/>
          <w:color w:val="auto"/>
        </w:rPr>
        <w:t>The Issuers may offer debt securities in one or more series, which may be senior debt securities or subordinated debt securities and which may be convertible into another security.</w:t>
      </w:r>
    </w:p>
    <w:p>
      <w:pPr>
        <w:spacing w:after="0" w:line="124" w:lineRule="exact"/>
        <w:rPr>
          <w:sz w:val="20"/>
          <w:szCs w:val="20"/>
          <w:color w:val="auto"/>
        </w:rPr>
      </w:pPr>
    </w:p>
    <w:p>
      <w:pPr>
        <w:ind w:left="1300" w:right="259" w:firstLine="347"/>
        <w:spacing w:after="0" w:line="257" w:lineRule="auto"/>
        <w:rPr>
          <w:sz w:val="20"/>
          <w:szCs w:val="20"/>
          <w:color w:val="auto"/>
        </w:rPr>
      </w:pPr>
      <w:r>
        <w:rPr>
          <w:rFonts w:ascii="Times New Roman" w:cs="Times New Roman" w:eastAsia="Times New Roman" w:hAnsi="Times New Roman"/>
          <w:sz w:val="14"/>
          <w:szCs w:val="14"/>
          <w:color w:val="auto"/>
        </w:rPr>
        <w:t>The following description briefly sets forth certain general terms and provisions of the debt securities that the Issuers may offer and guarantees thereof by the Parent (in its role as guarantor under the Indenture (as defined below), the “</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 The particular terms of the debt securities and guarantees thereof offered by any prospectus supplement and the extent, if any, to which the following general terms and provisions may apply to the debt securities, will be described in an accompanying prospectus supplement. Unless otherwise specified in an accompanying prospectus supplement, any debt securities will be issued in one or more series under the indenture dated as of May 16, 2022, as supplemented by the first supplemental indenture dated as of May 16, 2022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each among the Issuers, the Guarantor and Deutsche Bank Trust Company Americas, as trustee. The Indenture is incorporated by reference as an exhibit to the registration statement of which this prospectus forms a part. The terms of the debt securities will include those set forth in the Indenture and those made a part of the Indenture by the Trust Indenture Act of 1939 (“</w:t>
      </w:r>
      <w:r>
        <w:rPr>
          <w:rFonts w:ascii="Times New Roman" w:cs="Times New Roman" w:eastAsia="Times New Roman" w:hAnsi="Times New Roman"/>
          <w:sz w:val="14"/>
          <w:szCs w:val="14"/>
          <w:b w:val="1"/>
          <w:bCs w:val="1"/>
          <w:color w:val="auto"/>
        </w:rPr>
        <w:t>TIA</w:t>
      </w:r>
      <w:r>
        <w:rPr>
          <w:rFonts w:ascii="Times New Roman" w:cs="Times New Roman" w:eastAsia="Times New Roman" w:hAnsi="Times New Roman"/>
          <w:sz w:val="14"/>
          <w:szCs w:val="14"/>
          <w:color w:val="auto"/>
        </w:rPr>
        <w:t>”). You should read the summary below, any accompanying prospectus supplement and the provisions of the Indenture in their entirety before investing in our debt securities.</w:t>
      </w:r>
    </w:p>
    <w:p>
      <w:pPr>
        <w:spacing w:after="0" w:line="149" w:lineRule="exact"/>
        <w:rPr>
          <w:sz w:val="20"/>
          <w:szCs w:val="20"/>
          <w:color w:val="auto"/>
        </w:rPr>
      </w:pPr>
    </w:p>
    <w:p>
      <w:pPr>
        <w:ind w:left="1300" w:right="279" w:firstLine="347"/>
        <w:spacing w:after="0" w:line="271"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 The prospectus supplement relating to any series of debt securities that the Issuers may offer will contain the specific terms of the debt securities. These terms may include, among others, the following:</w:t>
      </w:r>
    </w:p>
    <w:p>
      <w:pPr>
        <w:spacing w:after="0" w:line="61" w:lineRule="exact"/>
        <w:rPr>
          <w:sz w:val="20"/>
          <w:szCs w:val="20"/>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aggregate principal amount of the debt securities and any limit on the aggregate principal amount of such series;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subordination provisions for any subordinated debt securities;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date(s) or method for determining same;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same;</w:t>
      </w:r>
    </w:p>
    <w:p>
      <w:pPr>
        <w:spacing w:after="0" w:line="105" w:lineRule="exact"/>
        <w:rPr>
          <w:rFonts w:ascii="Times New Roman" w:cs="Times New Roman" w:eastAsia="Times New Roman" w:hAnsi="Times New Roman"/>
          <w:sz w:val="14"/>
          <w:szCs w:val="14"/>
          <w:color w:val="auto"/>
        </w:rPr>
      </w:pPr>
    </w:p>
    <w:p>
      <w:pPr>
        <w:ind w:left="2060" w:right="339" w:hanging="331"/>
        <w:spacing w:after="0" w:line="288"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104" w:lineRule="exact"/>
        <w:rPr>
          <w:rFonts w:ascii="Times New Roman" w:cs="Times New Roman" w:eastAsia="Times New Roman" w:hAnsi="Times New Roman"/>
          <w:sz w:val="14"/>
          <w:szCs w:val="14"/>
          <w:color w:val="auto"/>
        </w:rPr>
      </w:pPr>
    </w:p>
    <w:p>
      <w:pPr>
        <w:ind w:left="2060" w:right="199" w:hanging="331"/>
        <w:spacing w:after="0" w:line="288"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and where notices or demands upon the company may be made;</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debt securities of the series including such legends as may be required by applicable law;</w:t>
      </w:r>
    </w:p>
    <w:p>
      <w:pPr>
        <w:spacing w:after="0" w:line="104" w:lineRule="exact"/>
        <w:rPr>
          <w:rFonts w:ascii="Times New Roman" w:cs="Times New Roman" w:eastAsia="Times New Roman" w:hAnsi="Times New Roman"/>
          <w:sz w:val="14"/>
          <w:szCs w:val="14"/>
          <w:color w:val="auto"/>
        </w:rPr>
      </w:pPr>
    </w:p>
    <w:p>
      <w:pPr>
        <w:ind w:left="2060" w:right="559" w:hanging="331"/>
        <w:spacing w:after="0" w:line="288"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 and the date as of which the securities are dated if other than the date of original issuance;</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such security;</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or premium, if any, with which the debt securities will be issued;</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1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9"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guarantee by the Guarantor (including provisions relating to seniority, subordination and release of the guarantees);</w:t>
      </w:r>
    </w:p>
    <w:p>
      <w:pPr>
        <w:spacing w:after="0" w:line="105" w:lineRule="exact"/>
        <w:rPr>
          <w:rFonts w:ascii="Times New Roman" w:cs="Times New Roman" w:eastAsia="Times New Roman" w:hAnsi="Times New Roman"/>
          <w:sz w:val="14"/>
          <w:szCs w:val="14"/>
          <w:color w:val="auto"/>
        </w:rPr>
      </w:pPr>
    </w:p>
    <w:p>
      <w:pPr>
        <w:ind w:left="2060" w:right="35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purchase price for, the principal of and any premium and any interest on, the debt securities will be payable;</w:t>
      </w:r>
    </w:p>
    <w:p>
      <w:pPr>
        <w:spacing w:after="0" w:line="49" w:lineRule="exact"/>
        <w:rPr>
          <w:rFonts w:ascii="Times New Roman" w:cs="Times New Roman" w:eastAsia="Times New Roman" w:hAnsi="Times New Roman"/>
          <w:sz w:val="14"/>
          <w:szCs w:val="14"/>
          <w:color w:val="auto"/>
        </w:rPr>
      </w:pPr>
    </w:p>
    <w:p>
      <w:pPr>
        <w:ind w:left="2060" w:right="39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or the holders of the debt securities can select the payment currency;</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conditions on the transferability of the debt securities;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debt securities upon occurrence of specified events;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105" w:lineRule="exact"/>
        <w:rPr>
          <w:rFonts w:ascii="Times New Roman" w:cs="Times New Roman" w:eastAsia="Times New Roman" w:hAnsi="Times New Roman"/>
          <w:sz w:val="14"/>
          <w:szCs w:val="14"/>
          <w:color w:val="auto"/>
        </w:rPr>
      </w:pPr>
    </w:p>
    <w:p>
      <w:pPr>
        <w:ind w:left="2060" w:right="43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 the execution of supplemental indentures for such series; and</w:t>
      </w:r>
    </w:p>
    <w:p>
      <w:pPr>
        <w:spacing w:after="0" w:line="49" w:lineRule="exact"/>
        <w:rPr>
          <w:rFonts w:ascii="Times New Roman" w:cs="Times New Roman" w:eastAsia="Times New Roman" w:hAnsi="Times New Roman"/>
          <w:sz w:val="14"/>
          <w:szCs w:val="14"/>
          <w:color w:val="auto"/>
        </w:rPr>
      </w:pPr>
    </w:p>
    <w:p>
      <w:pPr>
        <w:ind w:left="2060" w:right="59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6" w:lineRule="exact"/>
        <w:rPr>
          <w:sz w:val="20"/>
          <w:szCs w:val="20"/>
          <w:color w:val="auto"/>
        </w:rPr>
      </w:pPr>
    </w:p>
    <w:p>
      <w:pPr>
        <w:ind w:left="1300" w:right="279" w:firstLine="347"/>
        <w:spacing w:after="0" w:line="265" w:lineRule="auto"/>
        <w:rPr>
          <w:sz w:val="20"/>
          <w:szCs w:val="20"/>
          <w:color w:val="auto"/>
        </w:rPr>
      </w:pPr>
      <w:r>
        <w:rPr>
          <w:rFonts w:ascii="Times New Roman" w:cs="Times New Roman" w:eastAsia="Times New Roman" w:hAnsi="Times New Roman"/>
          <w:sz w:val="14"/>
          <w:szCs w:val="14"/>
          <w:color w:val="auto"/>
        </w:rPr>
        <w:t>The Issuers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40" w:lineRule="exact"/>
        <w:rPr>
          <w:sz w:val="20"/>
          <w:szCs w:val="20"/>
          <w:color w:val="auto"/>
        </w:rPr>
      </w:pPr>
    </w:p>
    <w:p>
      <w:pPr>
        <w:ind w:left="1300" w:right="199" w:firstLine="347"/>
        <w:spacing w:after="0" w:line="259" w:lineRule="auto"/>
        <w:rPr>
          <w:sz w:val="20"/>
          <w:szCs w:val="20"/>
          <w:color w:val="auto"/>
        </w:rPr>
      </w:pPr>
      <w:r>
        <w:rPr>
          <w:rFonts w:ascii="Times New Roman" w:cs="Times New Roman" w:eastAsia="Times New Roman" w:hAnsi="Times New Roman"/>
          <w:sz w:val="14"/>
          <w:szCs w:val="14"/>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46" w:lineRule="exact"/>
        <w:rPr>
          <w:sz w:val="20"/>
          <w:szCs w:val="20"/>
          <w:color w:val="auto"/>
        </w:rPr>
      </w:pPr>
    </w:p>
    <w:p>
      <w:pPr>
        <w:ind w:left="1300" w:right="919" w:firstLine="347"/>
        <w:spacing w:after="0" w:line="288"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an accompanying prospectus supplement.</w:t>
      </w:r>
    </w:p>
    <w:p>
      <w:pPr>
        <w:spacing w:after="0" w:line="124" w:lineRule="exact"/>
        <w:rPr>
          <w:sz w:val="20"/>
          <w:szCs w:val="20"/>
          <w:color w:val="auto"/>
        </w:rPr>
      </w:pPr>
    </w:p>
    <w:p>
      <w:pPr>
        <w:ind w:left="1300" w:right="279" w:firstLine="347"/>
        <w:spacing w:after="0" w:line="265"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6" w:lineRule="exact"/>
        <w:rPr>
          <w:sz w:val="20"/>
          <w:szCs w:val="20"/>
          <w:color w:val="auto"/>
        </w:rPr>
      </w:pPr>
    </w:p>
    <w:p>
      <w:pPr>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96" w:lineRule="exact"/>
        <w:rPr>
          <w:sz w:val="20"/>
          <w:szCs w:val="20"/>
          <w:color w:val="auto"/>
        </w:rPr>
      </w:pPr>
    </w:p>
    <w:p>
      <w:pPr>
        <w:ind w:left="1300" w:right="399" w:firstLine="347"/>
        <w:spacing w:after="0" w:line="288" w:lineRule="auto"/>
        <w:rPr>
          <w:sz w:val="20"/>
          <w:szCs w:val="20"/>
          <w:color w:val="auto"/>
        </w:rPr>
      </w:pPr>
      <w:r>
        <w:rPr>
          <w:rFonts w:ascii="Times New Roman" w:cs="Times New Roman" w:eastAsia="Times New Roman" w:hAnsi="Times New Roman"/>
          <w:sz w:val="14"/>
          <w:szCs w:val="14"/>
          <w:color w:val="auto"/>
        </w:rPr>
        <w:t>The Guarantor will fully and unconditionally guarantee all obligations of the Issuers under the Indenture and the related debt securities. Unless otherwise provided in a prospectus supplement, each guarantee will be a senior unsecured obligation of the Guarantor.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Indenture and the debt securities shall be construed in accordance with and governed by the laws of the State of New York.</w:t>
      </w:r>
    </w:p>
    <w:p>
      <w:pPr>
        <w:spacing w:after="0" w:line="1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9"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79" w:lineRule="exact"/>
        <w:rPr>
          <w:sz w:val="20"/>
          <w:szCs w:val="20"/>
          <w:color w:val="auto"/>
        </w:rPr>
      </w:pPr>
    </w:p>
    <w:p>
      <w:pPr>
        <w:ind w:left="1300" w:right="279" w:firstLine="347"/>
        <w:spacing w:after="0" w:line="257" w:lineRule="auto"/>
        <w:rPr>
          <w:sz w:val="20"/>
          <w:szCs w:val="20"/>
          <w:color w:val="auto"/>
        </w:rPr>
      </w:pPr>
      <w:r>
        <w:rPr>
          <w:rFonts w:ascii="Times New Roman" w:cs="Times New Roman" w:eastAsia="Times New Roman" w:hAnsi="Times New Roman"/>
          <w:sz w:val="14"/>
          <w:szCs w:val="14"/>
          <w:color w:val="auto"/>
        </w:rPr>
        <w:t>The Company, NXP B.V., is a private company with limited liability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incorporated under the laws of the Netherlands and certain of its directors and executive officers, are residents of the Netherlands. In addition, a substantial portion of the assets owned by us and the aforesaid individuals are located outside the United States. Similarly, the Parent is incorporated under the laws of the Netherlands. As a result, it may be difficult or impossible for you to effect service of process upon us or any of the aforesaid persons within the United States with respect to matters arising under the U.S. federal securities laws or to enforce against us or any of such persons judgments of U.S. courts predicated upon the civil liability provisions of the U.S. federal securities laws. Service of process in U.S. proceedings on persons in the Netherlands, however, is regulated by a multilateral treaty guaranteeing service of writs and other legal documents in civil cases if the current address of the defendant is known. A competent Dutch court will apply Dutch private international law to determine which laws will be applicable to any private law claim brought before it and apply such laws to such claim. It is uncertain whether a Dutch court would apply or enforce the civil liability provisions of U.S. federal securities laws.</w:t>
      </w:r>
    </w:p>
    <w:p>
      <w:pPr>
        <w:spacing w:after="0" w:line="151" w:lineRule="exact"/>
        <w:rPr>
          <w:sz w:val="20"/>
          <w:szCs w:val="20"/>
          <w:color w:val="auto"/>
        </w:rPr>
      </w:pPr>
    </w:p>
    <w:p>
      <w:pPr>
        <w:ind w:left="1300" w:right="299" w:firstLine="347"/>
        <w:spacing w:after="0" w:line="262" w:lineRule="auto"/>
        <w:rPr>
          <w:sz w:val="20"/>
          <w:szCs w:val="20"/>
          <w:color w:val="auto"/>
        </w:rPr>
      </w:pPr>
      <w:r>
        <w:rPr>
          <w:rFonts w:ascii="Times New Roman" w:cs="Times New Roman" w:eastAsia="Times New Roman" w:hAnsi="Times New Roman"/>
          <w:sz w:val="14"/>
          <w:szCs w:val="14"/>
          <w:color w:val="auto"/>
        </w:rPr>
        <w:t>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laws or securities laws of any state or territory within the United States, will not be directly enforceable in the Netherlands.</w:t>
      </w:r>
    </w:p>
    <w:p>
      <w:pPr>
        <w:spacing w:after="0" w:line="143" w:lineRule="exact"/>
        <w:rPr>
          <w:sz w:val="20"/>
          <w:szCs w:val="20"/>
          <w:color w:val="auto"/>
        </w:rPr>
      </w:pPr>
    </w:p>
    <w:p>
      <w:pPr>
        <w:ind w:left="1300" w:right="239" w:firstLine="347"/>
        <w:spacing w:after="0" w:line="256" w:lineRule="auto"/>
        <w:rPr>
          <w:sz w:val="20"/>
          <w:szCs w:val="20"/>
          <w:color w:val="auto"/>
        </w:rPr>
      </w:pPr>
      <w:r>
        <w:rPr>
          <w:rFonts w:ascii="Times New Roman" w:cs="Times New Roman" w:eastAsia="Times New Roman" w:hAnsi="Times New Roman"/>
          <w:sz w:val="14"/>
          <w:szCs w:val="14"/>
          <w:color w:val="auto"/>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w:t>
      </w:r>
      <w:r>
        <w:rPr>
          <w:rFonts w:ascii="Times New Roman" w:cs="Times New Roman" w:eastAsia="Times New Roman" w:hAnsi="Times New Roman"/>
          <w:sz w:val="14"/>
          <w:szCs w:val="14"/>
          <w:i w:val="1"/>
          <w:iCs w:val="1"/>
          <w:color w:val="auto"/>
        </w:rPr>
        <w:t>behoorlijke rechtspleging</w:t>
      </w:r>
      <w:r>
        <w:rPr>
          <w:rFonts w:ascii="Times New Roman" w:cs="Times New Roman" w:eastAsia="Times New Roman" w:hAnsi="Times New Roman"/>
          <w:sz w:val="14"/>
          <w:szCs w:val="14"/>
          <w:color w:val="auto"/>
        </w:rPr>
        <w:t>); (iii) recognition and/or enforcement of that judgment does not conflict with the public policy (</w:t>
      </w:r>
      <w:r>
        <w:rPr>
          <w:rFonts w:ascii="Times New Roman" w:cs="Times New Roman" w:eastAsia="Times New Roman" w:hAnsi="Times New Roman"/>
          <w:sz w:val="14"/>
          <w:szCs w:val="14"/>
          <w:i w:val="1"/>
          <w:iCs w:val="1"/>
          <w:color w:val="auto"/>
        </w:rPr>
        <w:t>openbare orde</w:t>
      </w:r>
      <w:r>
        <w:rPr>
          <w:rFonts w:ascii="Times New Roman" w:cs="Times New Roman" w:eastAsia="Times New Roman" w:hAnsi="Times New Roman"/>
          <w:sz w:val="14"/>
          <w:szCs w:val="14"/>
          <w:color w:val="auto"/>
        </w:rPr>
        <w:t>) of the Netherlands; and (iv) recognition and/or enforcement of that judgment is not irreconcilable with a decision of a Netherlands court rendered between the same parties in a dispute that is about the same subject matter and that is based on the same cause, provided that earlier decision can be recognized in the Netherlands. Enforcement of any foreign judgment in the Netherlands will be subject to Dutch civil procedure rules. Judgments rendered in a foreign currency can be enforced against assets in the Netherlands in euro only (at the applicable rate of exchange). Furthermore, a Dutch court may reduce the amount of damages granted by a U.S. court and recognize damages only to the extent that they compensate actual losses or damage.</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9"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Issuers may sell the securities being offered hereby in one or more of the following ways from time to time:</w:t>
      </w:r>
    </w:p>
    <w:p>
      <w:pPr>
        <w:spacing w:after="0" w:line="105" w:lineRule="exact"/>
        <w:rPr>
          <w:sz w:val="20"/>
          <w:szCs w:val="20"/>
          <w:color w:val="auto"/>
        </w:rPr>
      </w:pPr>
    </w:p>
    <w:p>
      <w:pPr>
        <w:ind w:left="2060" w:hanging="331"/>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for resale to purchasers;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 dealers to purchasers;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or</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methods as described in a prospectus supplement.</w:t>
      </w:r>
    </w:p>
    <w:p>
      <w:pPr>
        <w:spacing w:after="0" w:line="179" w:lineRule="exact"/>
        <w:rPr>
          <w:sz w:val="20"/>
          <w:szCs w:val="20"/>
          <w:color w:val="auto"/>
        </w:rPr>
      </w:pPr>
    </w:p>
    <w:p>
      <w:pPr>
        <w:ind w:left="1300" w:right="519" w:firstLine="347"/>
        <w:spacing w:after="0" w:line="288"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a prospectus supplement. The applicable prospectus supplement will state the terms of the offering of the securities, including:</w:t>
      </w:r>
    </w:p>
    <w:p>
      <w:pPr>
        <w:spacing w:after="0" w:line="50" w:lineRule="exact"/>
        <w:rPr>
          <w:sz w:val="20"/>
          <w:szCs w:val="20"/>
          <w:color w:val="auto"/>
        </w:rPr>
      </w:pPr>
    </w:p>
    <w:p>
      <w:pPr>
        <w:ind w:left="2060" w:hanging="331"/>
        <w:spacing w:after="0"/>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such securities and the proceeds to be received by the Issuers;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Any initial public offering price and any discounts or concessions allowed or reallowed or paid to dealers may be changed from time to time.</w:t>
      </w:r>
    </w:p>
    <w:p>
      <w:pPr>
        <w:spacing w:after="0" w:line="179" w:lineRule="exact"/>
        <w:rPr>
          <w:sz w:val="20"/>
          <w:szCs w:val="20"/>
          <w:color w:val="auto"/>
        </w:rPr>
      </w:pPr>
    </w:p>
    <w:p>
      <w:pPr>
        <w:ind w:left="1300" w:right="199" w:firstLine="347"/>
        <w:spacing w:after="0" w:line="260" w:lineRule="auto"/>
        <w:rPr>
          <w:sz w:val="20"/>
          <w:szCs w:val="20"/>
          <w:color w:val="auto"/>
        </w:rPr>
      </w:pPr>
      <w:r>
        <w:rPr>
          <w:rFonts w:ascii="Times New Roman" w:cs="Times New Roman" w:eastAsia="Times New Roman" w:hAnsi="Times New Roman"/>
          <w:sz w:val="14"/>
          <w:szCs w:val="14"/>
          <w:color w:val="auto"/>
        </w:rPr>
        <w:t>In addition, the Issuers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45" w:lineRule="exact"/>
        <w:rPr>
          <w:sz w:val="20"/>
          <w:szCs w:val="20"/>
          <w:color w:val="auto"/>
        </w:rPr>
      </w:pPr>
    </w:p>
    <w:p>
      <w:pPr>
        <w:ind w:left="1300" w:right="239" w:firstLine="347"/>
        <w:spacing w:after="0" w:line="265" w:lineRule="auto"/>
        <w:rPr>
          <w:sz w:val="20"/>
          <w:szCs w:val="20"/>
          <w:color w:val="auto"/>
        </w:rPr>
      </w:pPr>
      <w:r>
        <w:rPr>
          <w:rFonts w:ascii="Times New Roman" w:cs="Times New Roman" w:eastAsia="Times New Roman" w:hAnsi="Times New Roman"/>
          <w:sz w:val="14"/>
          <w:szCs w:val="14"/>
          <w:color w:val="auto"/>
        </w:rPr>
        <w:t>Underwriters and agents may be entitled under agreements entered into with the Issuers to indemnification by the Issuers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Issuers and its affiliates in the ordinary course of business.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1" w:lineRule="exact"/>
        <w:rPr>
          <w:sz w:val="20"/>
          <w:szCs w:val="20"/>
          <w:color w:val="auto"/>
        </w:rPr>
      </w:pPr>
    </w:p>
    <w:p>
      <w:pPr>
        <w:ind w:left="1300" w:right="219" w:firstLine="347"/>
        <w:spacing w:after="0" w:line="271" w:lineRule="auto"/>
        <w:rPr>
          <w:sz w:val="20"/>
          <w:szCs w:val="20"/>
          <w:color w:val="auto"/>
        </w:rPr>
      </w:pPr>
      <w:r>
        <w:rPr>
          <w:rFonts w:ascii="Times New Roman" w:cs="Times New Roman" w:eastAsia="Times New Roman" w:hAnsi="Times New Roman"/>
          <w:sz w:val="14"/>
          <w:szCs w:val="14"/>
          <w:color w:val="auto"/>
        </w:rPr>
        <w:t>Unless otherwise indicated in any accompanying prospectus supplement, certain legal matters will be passed upon for us by Skadden, Arps, Slate, Meagher &amp; Flom LLP, as to matters of U.S. federal and New York state law, and by De Brauw Blackstone Westbroek N.V., as to matters of Dutch law. Any underwriters will be advised about legal matters by their own counsel, which will be named in an accompanying prospectus supplement.</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9"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1" w:lineRule="exact"/>
        <w:rPr>
          <w:sz w:val="20"/>
          <w:szCs w:val="20"/>
          <w:color w:val="auto"/>
        </w:rPr>
      </w:pPr>
    </w:p>
    <w:p>
      <w:pPr>
        <w:ind w:left="1300" w:right="219" w:firstLine="347"/>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NXP Semiconductors N.V. appearing in NXP Semiconductors N.V.’s Annual Report (Form 10-K) for the years ended December 31, 2024 and 2023, and for each of the three years in the period ended December 31, 2024, and the effectiveness of NXP Semiconductors N.V.’s internal control over financial reporting as of December 31, 2024, have been audited by EY Accountants B.V.,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4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PART II INFORMATION NOT REQUIRED IN PROSPECTUS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14.</w:t>
            </w:r>
          </w:p>
        </w:tc>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 Expenses of Issuance and Distribution.</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6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The expenses relating to the registration of the securities will be borne by the registrant.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80" w:type="dxa"/>
            <w:vAlign w:val="bottom"/>
          </w:tcPr>
          <w:p>
            <w:pPr>
              <w:spacing w:after="0"/>
              <w:rPr>
                <w:sz w:val="16"/>
                <w:szCs w:val="16"/>
                <w:color w:val="auto"/>
              </w:rPr>
            </w:pPr>
          </w:p>
        </w:tc>
        <w:tc>
          <w:tcPr>
            <w:tcW w:w="720" w:type="dxa"/>
            <w:vAlign w:val="bottom"/>
            <w:vMerge w:val="restart"/>
          </w:tcPr>
          <w:p>
            <w:pPr>
              <w:spacing w:after="0"/>
              <w:rPr>
                <w:sz w:val="16"/>
                <w:szCs w:val="16"/>
                <w:color w:val="auto"/>
              </w:rPr>
            </w:pPr>
          </w:p>
        </w:tc>
        <w:tc>
          <w:tcPr>
            <w:tcW w:w="5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Printing Fees</w:t>
            </w:r>
          </w:p>
        </w:tc>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Agents and Trustees’ Fees and Expenses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Exchange Listing Fees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67310</wp:posOffset>
            </wp:positionV>
            <wp:extent cx="60833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14" w:lineRule="exact"/>
        <w:rPr>
          <w:sz w:val="20"/>
          <w:szCs w:val="20"/>
          <w:color w:val="auto"/>
        </w:rPr>
      </w:pPr>
    </w:p>
    <w:p>
      <w:pPr>
        <w:ind w:left="1640" w:hanging="337"/>
        <w:spacing w:after="0"/>
        <w:tabs>
          <w:tab w:leader="none" w:pos="1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 reliance on Rules 456(b) and 457(r) under the Securities Act.</w:t>
      </w:r>
    </w:p>
    <w:p>
      <w:pPr>
        <w:spacing w:after="0" w:line="23" w:lineRule="exact"/>
        <w:rPr>
          <w:sz w:val="20"/>
          <w:szCs w:val="20"/>
          <w:color w:val="auto"/>
        </w:rPr>
      </w:pPr>
    </w:p>
    <w:p>
      <w:pPr>
        <w:ind w:left="1640" w:right="199" w:hanging="337"/>
        <w:spacing w:after="0" w:line="267" w:lineRule="auto"/>
        <w:tabs>
          <w:tab w:leader="none" w:pos="1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an indeterminate amount of securities is covered by this registration statement, the expenses in connection with the issuance and distribution of the securities are not currently determinable.</w:t>
      </w:r>
    </w:p>
    <w:p>
      <w:pPr>
        <w:spacing w:after="0" w:line="253"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NXP Semiconductors N.V., NXP B.V.</w:t>
      </w:r>
    </w:p>
    <w:p>
      <w:pPr>
        <w:spacing w:after="0" w:line="94" w:lineRule="exact"/>
        <w:rPr>
          <w:sz w:val="20"/>
          <w:szCs w:val="20"/>
          <w:color w:val="auto"/>
        </w:rPr>
      </w:pPr>
    </w:p>
    <w:p>
      <w:pPr>
        <w:ind w:left="1300" w:right="459" w:firstLine="347"/>
        <w:spacing w:after="0" w:line="291" w:lineRule="auto"/>
        <w:rPr>
          <w:sz w:val="20"/>
          <w:szCs w:val="20"/>
          <w:color w:val="auto"/>
        </w:rPr>
      </w:pPr>
      <w:r>
        <w:rPr>
          <w:rFonts w:ascii="Times New Roman" w:cs="Times New Roman" w:eastAsia="Times New Roman" w:hAnsi="Times New Roman"/>
          <w:sz w:val="14"/>
          <w:szCs w:val="14"/>
          <w:color w:val="auto"/>
        </w:rPr>
        <w:t>The Parent is a public limited liability company (</w:t>
      </w:r>
      <w:r>
        <w:rPr>
          <w:rFonts w:ascii="Times New Roman" w:cs="Times New Roman" w:eastAsia="Times New Roman" w:hAnsi="Times New Roman"/>
          <w:sz w:val="14"/>
          <w:szCs w:val="14"/>
          <w:i w:val="1"/>
          <w:iCs w:val="1"/>
          <w:color w:val="auto"/>
        </w:rPr>
        <w:t>naamloze vennootschap met beperkte aansprakelijkheid</w:t>
      </w:r>
      <w:r>
        <w:rPr>
          <w:rFonts w:ascii="Times New Roman" w:cs="Times New Roman" w:eastAsia="Times New Roman" w:hAnsi="Times New Roman"/>
          <w:sz w:val="14"/>
          <w:szCs w:val="14"/>
          <w:color w:val="auto"/>
        </w:rPr>
        <w:t>) incorporated and existing under the laws of the Netherlands.</w:t>
      </w:r>
    </w:p>
    <w:p>
      <w:pPr>
        <w:spacing w:after="0" w:line="122" w:lineRule="exact"/>
        <w:rPr>
          <w:sz w:val="20"/>
          <w:szCs w:val="20"/>
          <w:color w:val="auto"/>
        </w:rPr>
      </w:pPr>
    </w:p>
    <w:p>
      <w:pPr>
        <w:ind w:left="1300" w:right="299" w:firstLine="347"/>
        <w:spacing w:after="0" w:line="259" w:lineRule="auto"/>
        <w:rPr>
          <w:sz w:val="20"/>
          <w:szCs w:val="20"/>
          <w:color w:val="auto"/>
        </w:rPr>
      </w:pPr>
      <w:r>
        <w:rPr>
          <w:rFonts w:ascii="Times New Roman" w:cs="Times New Roman" w:eastAsia="Times New Roman" w:hAnsi="Times New Roman"/>
          <w:sz w:val="14"/>
          <w:szCs w:val="14"/>
          <w:color w:val="auto"/>
        </w:rPr>
        <w:t>Without prejudice to any indemnity to which any person may be contractually or otherwise entitled and to the fullest extent permitted by applicable Dutch law, as the same exists or may be amended (but, in the case of such amendment, only to the extent that such amendment permits the Parent to provide broader indemnification rights than such law permitted the Parent to provide prior to such amendment), the Parent’s articles of association (the “Articles”) provide that the Parent will reimburse to each of its current or former directors any financial losses or damages incurred by such person and any expense reasonably paid or incurred by such indemnified person in connection with any claims or legal proceedings of a civil, criminal, administrative or other nature, formal or informal, in which such indemnified person becomes involved, to the extent this relates to his or her current or former position with the Parent and in each case to the extent permitted by applicable law.</w:t>
      </w:r>
    </w:p>
    <w:p>
      <w:pPr>
        <w:spacing w:after="0" w:line="146" w:lineRule="exact"/>
        <w:rPr>
          <w:sz w:val="20"/>
          <w:szCs w:val="20"/>
          <w:color w:val="auto"/>
        </w:rPr>
      </w:pPr>
    </w:p>
    <w:p>
      <w:pPr>
        <w:ind w:left="1300" w:right="319" w:firstLine="347"/>
        <w:spacing w:after="0" w:line="260" w:lineRule="auto"/>
        <w:rPr>
          <w:sz w:val="20"/>
          <w:szCs w:val="20"/>
          <w:color w:val="auto"/>
        </w:rPr>
      </w:pPr>
      <w:r>
        <w:rPr>
          <w:rFonts w:ascii="Times New Roman" w:cs="Times New Roman" w:eastAsia="Times New Roman" w:hAnsi="Times New Roman"/>
          <w:sz w:val="14"/>
          <w:szCs w:val="14"/>
          <w:color w:val="auto"/>
        </w:rPr>
        <w:t>No indemnification under the Articles shall be given to an indemnified person: (i) if a Dutch court has established, in a final and conclusive decision, that the acts or omissions of such indemnified person that led to the financial losses or damages as described above are of an unlawful nature (including acts or omissions which are considered to constitute willful, intentional recklessness and/or serious culpability attributable to such indemnified person), unless the law provides otherwise or this would, in view of the relevant circumstances, be unacceptable according to standards of reasonableness and fairness, (ii) to the extent that his or her costs or financial losses are covered under insurance and the relevant insurer has paid out costs, financial losses or damages.</w:t>
      </w:r>
    </w:p>
    <w:p>
      <w:pPr>
        <w:spacing w:after="0" w:line="1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Parent also maintains liability insurance for its directors and officers and the directors and officers of its subsidiaries, including the Issuers.</w:t>
      </w:r>
    </w:p>
    <w:p>
      <w:pPr>
        <w:spacing w:after="0" w:line="2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NXP USA, Inc.</w:t>
      </w:r>
    </w:p>
    <w:p>
      <w:pPr>
        <w:spacing w:after="0" w:line="96" w:lineRule="exact"/>
        <w:rPr>
          <w:sz w:val="20"/>
          <w:szCs w:val="20"/>
          <w:color w:val="auto"/>
        </w:rPr>
      </w:pPr>
    </w:p>
    <w:p>
      <w:pPr>
        <w:ind w:left="1300" w:right="299" w:firstLine="347"/>
        <w:spacing w:after="0" w:line="271" w:lineRule="auto"/>
        <w:rPr>
          <w:sz w:val="20"/>
          <w:szCs w:val="20"/>
          <w:color w:val="auto"/>
        </w:rPr>
      </w:pPr>
      <w:r>
        <w:rPr>
          <w:rFonts w:ascii="Times New Roman" w:cs="Times New Roman" w:eastAsia="Times New Roman" w:hAnsi="Times New Roman"/>
          <w:sz w:val="14"/>
          <w:szCs w:val="14"/>
          <w:color w:val="auto"/>
        </w:rPr>
        <w:t>NXP USA, Inc. is a Delaware corporation. Reference is made to Section 102(b)(7) of the General Corporation Law of the State of Delaware (the “DGCL”), which enables a corporation in its certificate of incorporation to eliminate or limit the personal liability of a director for violations of the director’s fiduciary duty, except:</w:t>
      </w:r>
    </w:p>
    <w:p>
      <w:pPr>
        <w:spacing w:after="0" w:line="61" w:lineRule="exact"/>
        <w:rPr>
          <w:sz w:val="20"/>
          <w:szCs w:val="20"/>
          <w:color w:val="auto"/>
        </w:rPr>
      </w:pPr>
    </w:p>
    <w:p>
      <w:pPr>
        <w:ind w:left="5540" w:right="3299" w:hanging="3811"/>
        <w:spacing w:after="0" w:line="463" w:lineRule="auto"/>
        <w:tabs>
          <w:tab w:leader="none" w:pos="207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duty of loyalty to the corporation or its stockholders; II-1</w:t>
      </w:r>
    </w:p>
    <w:p>
      <w:pPr>
        <w:sectPr>
          <w:pgSz w:w="11900" w:h="16838" w:orient="portrait"/>
          <w:cols w:equalWidth="0" w:num="1">
            <w:col w:w="10159"/>
          </w:cols>
          <w:pgMar w:left="300" w:top="389"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060" w:hanging="331"/>
        <w:spacing w:after="0"/>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which involve intentional misconduct or a knowing violation of law;</w:t>
      </w:r>
    </w:p>
    <w:p>
      <w:pPr>
        <w:spacing w:after="0" w:line="10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Section 174 of the DGCL (providing for liability of directors for unlawful payment of dividends or unlawful stock purchases or redemptions); or</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a director derived an improper personal benefit.</w:t>
      </w:r>
    </w:p>
    <w:p>
      <w:pPr>
        <w:spacing w:after="0" w:line="179" w:lineRule="exact"/>
        <w:rPr>
          <w:sz w:val="20"/>
          <w:szCs w:val="20"/>
          <w:color w:val="auto"/>
        </w:rPr>
      </w:pPr>
    </w:p>
    <w:p>
      <w:pPr>
        <w:ind w:left="1300" w:right="199" w:firstLine="347"/>
        <w:spacing w:after="0" w:line="256" w:lineRule="auto"/>
        <w:rPr>
          <w:sz w:val="20"/>
          <w:szCs w:val="20"/>
          <w:color w:val="auto"/>
        </w:rPr>
      </w:pPr>
      <w:r>
        <w:rPr>
          <w:rFonts w:ascii="Times New Roman" w:cs="Times New Roman" w:eastAsia="Times New Roman" w:hAnsi="Times New Roman"/>
          <w:sz w:val="14"/>
          <w:szCs w:val="14"/>
          <w:color w:val="auto"/>
        </w:rPr>
        <w:t>Reference is also made to Section 145 of the DGCL, which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 reasonable cause to believe that the person’s conduct was unlawful.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actually and reasonably incurred. The indemnification permitted under the DGCL is not exclusive, and a corporation is empowered to purchase and maintain insurance against liabilities whether or not indemnification would be permitted by statute.</w:t>
      </w:r>
    </w:p>
    <w:p>
      <w:pPr>
        <w:spacing w:after="0" w:line="151" w:lineRule="exact"/>
        <w:rPr>
          <w:sz w:val="20"/>
          <w:szCs w:val="20"/>
          <w:color w:val="auto"/>
        </w:rPr>
      </w:pPr>
    </w:p>
    <w:p>
      <w:pPr>
        <w:ind w:left="1300" w:right="219" w:firstLine="347"/>
        <w:spacing w:after="0" w:line="288" w:lineRule="auto"/>
        <w:rPr>
          <w:sz w:val="20"/>
          <w:szCs w:val="20"/>
          <w:color w:val="auto"/>
        </w:rPr>
      </w:pPr>
      <w:r>
        <w:rPr>
          <w:rFonts w:ascii="Times New Roman" w:cs="Times New Roman" w:eastAsia="Times New Roman" w:hAnsi="Times New Roman"/>
          <w:sz w:val="14"/>
          <w:szCs w:val="14"/>
          <w:color w:val="auto"/>
        </w:rPr>
        <w:t>NXP USA, Inc.’s organizational documents provide for indemnification of its directors and officers to the fullest extent currently permitted by the DGCL.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NXP Funding LLC</w:t>
      </w:r>
    </w:p>
    <w:p>
      <w:pPr>
        <w:spacing w:after="0" w:line="96" w:lineRule="exact"/>
        <w:rPr>
          <w:sz w:val="20"/>
          <w:szCs w:val="20"/>
          <w:color w:val="auto"/>
        </w:rPr>
      </w:pPr>
    </w:p>
    <w:p>
      <w:pPr>
        <w:ind w:left="1300" w:right="219" w:firstLine="347"/>
        <w:spacing w:after="0" w:line="288" w:lineRule="auto"/>
        <w:rPr>
          <w:sz w:val="20"/>
          <w:szCs w:val="20"/>
          <w:color w:val="auto"/>
        </w:rPr>
      </w:pPr>
      <w:r>
        <w:rPr>
          <w:rFonts w:ascii="Times New Roman" w:cs="Times New Roman" w:eastAsia="Times New Roman" w:hAnsi="Times New Roman"/>
          <w:sz w:val="14"/>
          <w:szCs w:val="14"/>
          <w:color w:val="auto"/>
        </w:rPr>
        <w:t>NXP Funding, LLC is Delaware limited liability company that has been organized as a special purpose finance subsidiary to facilitate offerings of debt securities. Its organizational documents do not provide for indemnification of its officers and directors.</w:t>
      </w:r>
    </w:p>
    <w:p>
      <w:pPr>
        <w:spacing w:after="0" w:line="239"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List of Exhibits.</w:t>
      </w:r>
    </w:p>
    <w:p>
      <w:pPr>
        <w:spacing w:after="0" w:line="9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exhibits are filed as part of this Registration Statement:</w:t>
      </w:r>
    </w:p>
    <w:p>
      <w:pPr>
        <w:spacing w:after="0" w:line="187"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820" w:type="dxa"/>
            <w:vAlign w:val="bottom"/>
            <w:gridSpan w:val="7"/>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c>
          <w:tcPr>
            <w:tcW w:w="0" w:type="dxa"/>
            <w:vAlign w:val="bottom"/>
          </w:tcPr>
          <w:p>
            <w:pPr>
              <w:spacing w:after="0"/>
              <w:rPr>
                <w:sz w:val="1"/>
                <w:szCs w:val="1"/>
                <w:color w:val="auto"/>
              </w:rPr>
            </w:pPr>
          </w:p>
        </w:tc>
      </w:tr>
      <w:tr>
        <w:trPr>
          <w:trHeight w:val="136"/>
        </w:trPr>
        <w:tc>
          <w:tcPr>
            <w:tcW w:w="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w:t>
            </w:r>
          </w:p>
        </w:tc>
        <w:tc>
          <w:tcPr>
            <w:tcW w:w="78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1.1*</w:t>
            </w:r>
          </w:p>
        </w:tc>
        <w:tc>
          <w:tcPr>
            <w:tcW w:w="500" w:type="dxa"/>
            <w:vAlign w:val="bottom"/>
          </w:tcPr>
          <w:p>
            <w:pPr>
              <w:spacing w:after="0"/>
              <w:rPr>
                <w:sz w:val="20"/>
                <w:szCs w:val="20"/>
                <w:color w:val="auto"/>
              </w:rPr>
            </w:pPr>
          </w:p>
        </w:tc>
        <w:tc>
          <w:tcPr>
            <w:tcW w:w="78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2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500" w:type="dxa"/>
            <w:vAlign w:val="bottom"/>
          </w:tcPr>
          <w:p>
            <w:pPr>
              <w:spacing w:after="0"/>
              <w:rPr>
                <w:sz w:val="19"/>
                <w:szCs w:val="19"/>
                <w:color w:val="auto"/>
              </w:rPr>
            </w:pPr>
          </w:p>
        </w:tc>
        <w:tc>
          <w:tcPr>
            <w:tcW w:w="7820" w:type="dxa"/>
            <w:vAlign w:val="bottom"/>
            <w:gridSpan w:val="7"/>
          </w:tcPr>
          <w:p>
            <w:pPr>
              <w:spacing w:after="0"/>
              <w:rPr>
                <w:rFonts w:ascii="Times New Roman" w:cs="Times New Roman" w:eastAsia="Times New Roman" w:hAnsi="Times New Roman"/>
                <w:sz w:val="14"/>
                <w:szCs w:val="14"/>
                <w:color w:val="0000EE"/>
              </w:rPr>
            </w:pPr>
            <w:hyperlink r:id="rId51">
              <w:r>
                <w:rPr>
                  <w:rFonts w:ascii="Times New Roman" w:cs="Times New Roman" w:eastAsia="Times New Roman" w:hAnsi="Times New Roman"/>
                  <w:sz w:val="14"/>
                  <w:szCs w:val="14"/>
                  <w:color w:val="0000EE"/>
                </w:rPr>
                <w:t>Articles of Association of NXP Semiconductors N.V. dated June 9, 2020 (incorporated by reference to Exhibit 3.1 to the quarterly report</w:t>
              </w:r>
            </w:hyperlink>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780" w:type="dxa"/>
            <w:vAlign w:val="bottom"/>
            <w:tcBorders>
              <w:top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51">
              <w:r>
                <w:rPr>
                  <w:rFonts w:ascii="Times New Roman" w:cs="Times New Roman" w:eastAsia="Times New Roman" w:hAnsi="Times New Roman"/>
                  <w:sz w:val="14"/>
                  <w:szCs w:val="14"/>
                  <w:color w:val="0000EE"/>
                </w:rPr>
                <w:t>on Form 10-Q of NXP Semiconductors N.V., filed on July 28, 2020).</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500" w:type="dxa"/>
            <w:vAlign w:val="bottom"/>
          </w:tcPr>
          <w:p>
            <w:pPr>
              <w:spacing w:after="0"/>
              <w:rPr>
                <w:sz w:val="20"/>
                <w:szCs w:val="20"/>
                <w:color w:val="auto"/>
              </w:rPr>
            </w:pPr>
          </w:p>
        </w:tc>
        <w:tc>
          <w:tcPr>
            <w:tcW w:w="7820" w:type="dxa"/>
            <w:vAlign w:val="bottom"/>
            <w:gridSpan w:val="7"/>
          </w:tcPr>
          <w:p>
            <w:pPr>
              <w:spacing w:after="0"/>
              <w:rPr>
                <w:rFonts w:ascii="Times New Roman" w:cs="Times New Roman" w:eastAsia="Times New Roman" w:hAnsi="Times New Roman"/>
                <w:sz w:val="14"/>
                <w:szCs w:val="14"/>
                <w:color w:val="0000EE"/>
              </w:rPr>
            </w:pPr>
            <w:hyperlink r:id="rId52">
              <w:r>
                <w:rPr>
                  <w:rFonts w:ascii="Times New Roman" w:cs="Times New Roman" w:eastAsia="Times New Roman" w:hAnsi="Times New Roman"/>
                  <w:sz w:val="14"/>
                  <w:szCs w:val="14"/>
                  <w:color w:val="0000EE"/>
                </w:rPr>
                <w:t>Indenture, dated May 16, 2022, among the Issuers, the Parent, as guarantor and Deutsche Bank Trust Company Americas, as trustee</w:t>
              </w:r>
            </w:hyperlink>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520" w:type="dxa"/>
            <w:vAlign w:val="bottom"/>
            <w:tcBorders>
              <w:top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52">
              <w:r>
                <w:rPr>
                  <w:rFonts w:ascii="Times New Roman" w:cs="Times New Roman" w:eastAsia="Times New Roman" w:hAnsi="Times New Roman"/>
                  <w:sz w:val="14"/>
                  <w:szCs w:val="14"/>
                  <w:color w:val="0000EE"/>
                </w:rPr>
                <w:t>(incorporated by reference to Exhibit 4.1 to the Form 8-K of NXP Semiconductors N.V., filed on May 16, 2022).</w:t>
              </w:r>
            </w:hyperlink>
          </w:p>
        </w:tc>
        <w:tc>
          <w:tcPr>
            <w:tcW w:w="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500" w:type="dxa"/>
            <w:vAlign w:val="bottom"/>
          </w:tcPr>
          <w:p>
            <w:pPr>
              <w:spacing w:after="0"/>
              <w:rPr>
                <w:sz w:val="20"/>
                <w:szCs w:val="20"/>
                <w:color w:val="auto"/>
              </w:rPr>
            </w:pPr>
          </w:p>
        </w:tc>
        <w:tc>
          <w:tcPr>
            <w:tcW w:w="32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Opinion of Skadden, Arps, Slate, Meagher &amp; Flom LLP.</w:t>
            </w:r>
          </w:p>
        </w:tc>
        <w:tc>
          <w:tcPr>
            <w:tcW w:w="3220" w:type="dxa"/>
            <w:vAlign w:val="bottom"/>
            <w:tcBorders>
              <w:top w:val="single" w:sz="8" w:color="0000EE"/>
            </w:tcBorders>
            <w:gridSpan w:val="2"/>
          </w:tcPr>
          <w:p>
            <w:pPr>
              <w:spacing w:after="0"/>
              <w:rPr>
                <w:sz w:val="20"/>
                <w:szCs w:val="20"/>
                <w:color w:val="auto"/>
              </w:rPr>
            </w:pPr>
          </w:p>
        </w:tc>
        <w:tc>
          <w:tcPr>
            <w:tcW w:w="13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5.2</w:t>
            </w:r>
          </w:p>
        </w:tc>
        <w:tc>
          <w:tcPr>
            <w:tcW w:w="500" w:type="dxa"/>
            <w:vAlign w:val="bottom"/>
          </w:tcPr>
          <w:p>
            <w:pPr>
              <w:spacing w:after="0"/>
              <w:rPr>
                <w:sz w:val="20"/>
                <w:szCs w:val="20"/>
                <w:color w:val="auto"/>
              </w:rPr>
            </w:pPr>
          </w:p>
        </w:tc>
        <w:tc>
          <w:tcPr>
            <w:tcW w:w="782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Opinion of De Brauw Blackstone Westbroek N.V.</w:t>
            </w:r>
          </w:p>
        </w:tc>
        <w:tc>
          <w:tcPr>
            <w:tcW w:w="0" w:type="dxa"/>
            <w:vAlign w:val="bottom"/>
          </w:tcPr>
          <w:p>
            <w:pPr>
              <w:spacing w:after="0"/>
              <w:rPr>
                <w:sz w:val="1"/>
                <w:szCs w:val="1"/>
                <w:color w:val="auto"/>
              </w:rPr>
            </w:pPr>
          </w:p>
        </w:tc>
      </w:tr>
      <w:tr>
        <w:trPr>
          <w:trHeight w:val="299"/>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II-2</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9"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88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c>
          <w:tcPr>
            <w:tcW w:w="0" w:type="dxa"/>
            <w:vAlign w:val="bottom"/>
          </w:tcPr>
          <w:p>
            <w:pPr>
              <w:spacing w:after="0"/>
              <w:rPr>
                <w:sz w:val="1"/>
                <w:szCs w:val="1"/>
                <w:color w:val="auto"/>
              </w:rPr>
            </w:pPr>
          </w:p>
        </w:tc>
      </w:tr>
      <w:tr>
        <w:trPr>
          <w:trHeight w:val="136"/>
        </w:trPr>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w:t>
            </w:r>
          </w:p>
        </w:tc>
        <w:tc>
          <w:tcPr>
            <w:tcW w:w="78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23.1</w:t>
            </w:r>
          </w:p>
        </w:tc>
        <w:tc>
          <w:tcPr>
            <w:tcW w:w="440" w:type="dxa"/>
            <w:vAlign w:val="bottom"/>
          </w:tcPr>
          <w:p>
            <w:pPr>
              <w:spacing w:after="0"/>
              <w:rPr>
                <w:sz w:val="17"/>
                <w:szCs w:val="17"/>
                <w:color w:val="auto"/>
              </w:rPr>
            </w:pPr>
          </w:p>
        </w:tc>
        <w:tc>
          <w:tcPr>
            <w:tcW w:w="78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0000EE"/>
              </w:rPr>
              <w:t>Consent of EY Accountants B.V.</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440" w:type="dxa"/>
            <w:vAlign w:val="bottom"/>
          </w:tcPr>
          <w:p>
            <w:pPr>
              <w:spacing w:after="0"/>
              <w:rPr>
                <w:sz w:val="20"/>
                <w:szCs w:val="20"/>
                <w:color w:val="auto"/>
              </w:rPr>
            </w:pPr>
          </w:p>
        </w:tc>
        <w:tc>
          <w:tcPr>
            <w:tcW w:w="788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Consent of Skadden, Arps, Slate, Meagher &amp; Flom LLP (included in Exhibit 5.1).</w:t>
            </w: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440" w:type="dxa"/>
            <w:vAlign w:val="bottom"/>
          </w:tcPr>
          <w:p>
            <w:pPr>
              <w:spacing w:after="0"/>
              <w:rPr>
                <w:sz w:val="20"/>
                <w:szCs w:val="20"/>
                <w:color w:val="auto"/>
              </w:rPr>
            </w:pPr>
          </w:p>
        </w:tc>
        <w:tc>
          <w:tcPr>
            <w:tcW w:w="46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Consent of De Brauw Blackstone Westbroek N.V. (included in Exhibit 5.2).</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440" w:type="dxa"/>
            <w:vAlign w:val="bottom"/>
          </w:tcPr>
          <w:p>
            <w:pPr>
              <w:spacing w:after="0"/>
              <w:rPr>
                <w:sz w:val="20"/>
                <w:szCs w:val="20"/>
                <w:color w:val="auto"/>
              </w:rPr>
            </w:pPr>
          </w:p>
        </w:tc>
        <w:tc>
          <w:tcPr>
            <w:tcW w:w="32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Powers of Attorney (included on signature pages hereto).</w:t>
            </w:r>
          </w:p>
        </w:tc>
        <w:tc>
          <w:tcPr>
            <w:tcW w:w="1040" w:type="dxa"/>
            <w:vAlign w:val="bottom"/>
            <w:tcBorders>
              <w:top w:val="single" w:sz="8" w:color="0000EE"/>
            </w:tcBorders>
            <w:gridSpan w:val="2"/>
          </w:tcPr>
          <w:p>
            <w:pPr>
              <w:spacing w:after="0"/>
              <w:rPr>
                <w:sz w:val="20"/>
                <w:szCs w:val="20"/>
                <w:color w:val="auto"/>
              </w:rPr>
            </w:pPr>
          </w:p>
        </w:tc>
        <w:tc>
          <w:tcPr>
            <w:tcW w:w="3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440" w:type="dxa"/>
            <w:vAlign w:val="bottom"/>
          </w:tcPr>
          <w:p>
            <w:pPr>
              <w:spacing w:after="0"/>
              <w:rPr>
                <w:sz w:val="20"/>
                <w:szCs w:val="20"/>
                <w:color w:val="auto"/>
              </w:rPr>
            </w:pPr>
          </w:p>
        </w:tc>
        <w:tc>
          <w:tcPr>
            <w:tcW w:w="3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Statement of Eligibility on Form T-1 of trustee under the Indenture.</w:t>
            </w:r>
          </w:p>
        </w:tc>
        <w:tc>
          <w:tcPr>
            <w:tcW w:w="40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100" w:hanging="797"/>
        <w:spacing w:after="0"/>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82550</wp:posOffset>
            </wp:positionV>
            <wp:extent cx="6083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38" w:lineRule="exact"/>
        <w:rPr>
          <w:sz w:val="20"/>
          <w:szCs w:val="20"/>
          <w:color w:val="auto"/>
        </w:rPr>
      </w:pPr>
    </w:p>
    <w:p>
      <w:pPr>
        <w:ind w:left="1640" w:right="319" w:hanging="337"/>
        <w:spacing w:after="0" w:line="288" w:lineRule="auto"/>
        <w:tabs>
          <w:tab w:leader="none" w:pos="1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to the Registration Statement or incorporated by reference from documents filed or to be filed with the SEC under the Securities Exchange Act of 1934, as amended.</w:t>
      </w:r>
    </w:p>
    <w:p>
      <w:pPr>
        <w:spacing w:after="0" w:line="239"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05" w:lineRule="exact"/>
        <w:rPr>
          <w:sz w:val="20"/>
          <w:szCs w:val="20"/>
          <w:color w:val="auto"/>
        </w:rPr>
      </w:pPr>
    </w:p>
    <w:p>
      <w:pPr>
        <w:ind w:left="1640" w:hanging="337"/>
        <w:spacing w:after="0"/>
        <w:tabs>
          <w:tab w:leader="none" w:pos="1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5" w:lineRule="exact"/>
        <w:rPr>
          <w:rFonts w:ascii="Times New Roman" w:cs="Times New Roman" w:eastAsia="Times New Roman" w:hAnsi="Times New Roman"/>
          <w:sz w:val="14"/>
          <w:szCs w:val="14"/>
          <w:color w:val="auto"/>
        </w:rPr>
      </w:pPr>
    </w:p>
    <w:p>
      <w:pPr>
        <w:ind w:left="2060" w:hanging="416"/>
        <w:spacing w:after="0"/>
        <w:tabs>
          <w:tab w:leader="none" w:pos="20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05" w:lineRule="exact"/>
        <w:rPr>
          <w:rFonts w:ascii="Times New Roman" w:cs="Times New Roman" w:eastAsia="Times New Roman" w:hAnsi="Times New Roman"/>
          <w:sz w:val="14"/>
          <w:szCs w:val="14"/>
          <w:color w:val="auto"/>
        </w:rPr>
      </w:pPr>
    </w:p>
    <w:p>
      <w:pPr>
        <w:ind w:left="2060" w:right="199" w:hanging="416"/>
        <w:spacing w:after="0" w:line="259" w:lineRule="auto"/>
        <w:tabs>
          <w:tab w:leader="none" w:pos="20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71" w:lineRule="exact"/>
        <w:rPr>
          <w:rFonts w:ascii="Times New Roman" w:cs="Times New Roman" w:eastAsia="Times New Roman" w:hAnsi="Times New Roman"/>
          <w:sz w:val="14"/>
          <w:szCs w:val="14"/>
          <w:color w:val="auto"/>
        </w:rPr>
      </w:pPr>
    </w:p>
    <w:p>
      <w:pPr>
        <w:ind w:left="2060" w:right="219" w:hanging="416"/>
        <w:spacing w:after="0" w:line="260" w:lineRule="auto"/>
        <w:tabs>
          <w:tab w:leader="none" w:pos="20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 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70" w:lineRule="exact"/>
        <w:rPr>
          <w:rFonts w:ascii="Times New Roman" w:cs="Times New Roman" w:eastAsia="Times New Roman" w:hAnsi="Times New Roman"/>
          <w:sz w:val="14"/>
          <w:szCs w:val="14"/>
          <w:color w:val="auto"/>
        </w:rPr>
      </w:pPr>
    </w:p>
    <w:p>
      <w:pPr>
        <w:ind w:left="1640" w:right="239" w:hanging="337"/>
        <w:spacing w:after="0" w:line="271" w:lineRule="auto"/>
        <w:tabs>
          <w:tab w:leader="none" w:pos="1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4"/>
          <w:szCs w:val="14"/>
          <w:color w:val="auto"/>
        </w:rPr>
      </w:pPr>
    </w:p>
    <w:p>
      <w:pPr>
        <w:ind w:left="1640" w:right="199" w:hanging="337"/>
        <w:spacing w:after="0" w:line="288" w:lineRule="auto"/>
        <w:tabs>
          <w:tab w:leader="none" w:pos="1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4"/>
          <w:szCs w:val="14"/>
          <w:color w:val="auto"/>
        </w:rPr>
      </w:pPr>
    </w:p>
    <w:p>
      <w:pPr>
        <w:ind w:left="1640" w:hanging="337"/>
        <w:spacing w:after="0"/>
        <w:tabs>
          <w:tab w:leader="none" w:pos="1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04" w:lineRule="exact"/>
        <w:rPr>
          <w:rFonts w:ascii="Times New Roman" w:cs="Times New Roman" w:eastAsia="Times New Roman" w:hAnsi="Times New Roman"/>
          <w:sz w:val="14"/>
          <w:szCs w:val="14"/>
          <w:color w:val="auto"/>
        </w:rPr>
      </w:pPr>
    </w:p>
    <w:p>
      <w:pPr>
        <w:ind w:left="2060" w:right="199" w:hanging="416"/>
        <w:spacing w:after="0" w:line="288" w:lineRule="auto"/>
        <w:tabs>
          <w:tab w:leader="none" w:pos="20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9"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060" w:right="239" w:hanging="416"/>
        <w:spacing w:after="0" w:line="257" w:lineRule="auto"/>
        <w:tabs>
          <w:tab w:leader="none" w:pos="20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242" w:lineRule="exact"/>
        <w:rPr>
          <w:rFonts w:ascii="Times New Roman" w:cs="Times New Roman" w:eastAsia="Times New Roman" w:hAnsi="Times New Roman"/>
          <w:sz w:val="14"/>
          <w:szCs w:val="14"/>
          <w:color w:val="auto"/>
        </w:rPr>
      </w:pPr>
    </w:p>
    <w:p>
      <w:pPr>
        <w:ind w:left="1640" w:right="299" w:hanging="337"/>
        <w:spacing w:after="0" w:line="262" w:lineRule="auto"/>
        <w:tabs>
          <w:tab w:leader="none" w:pos="1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rFonts w:ascii="Times New Roman" w:cs="Times New Roman" w:eastAsia="Times New Roman" w:hAnsi="Times New Roman"/>
          <w:sz w:val="14"/>
          <w:szCs w:val="14"/>
          <w:color w:val="auto"/>
        </w:rPr>
      </w:pPr>
    </w:p>
    <w:p>
      <w:pPr>
        <w:ind w:left="2060" w:hanging="416"/>
        <w:spacing w:after="0"/>
        <w:tabs>
          <w:tab w:leader="none" w:pos="20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05" w:lineRule="exact"/>
        <w:rPr>
          <w:rFonts w:ascii="Times New Roman" w:cs="Times New Roman" w:eastAsia="Times New Roman" w:hAnsi="Times New Roman"/>
          <w:sz w:val="14"/>
          <w:szCs w:val="14"/>
          <w:color w:val="auto"/>
        </w:rPr>
      </w:pPr>
    </w:p>
    <w:p>
      <w:pPr>
        <w:ind w:left="2060" w:right="479" w:hanging="416"/>
        <w:spacing w:after="0" w:line="288" w:lineRule="auto"/>
        <w:tabs>
          <w:tab w:leader="none" w:pos="20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9" w:lineRule="exact"/>
        <w:rPr>
          <w:rFonts w:ascii="Times New Roman" w:cs="Times New Roman" w:eastAsia="Times New Roman" w:hAnsi="Times New Roman"/>
          <w:sz w:val="14"/>
          <w:szCs w:val="14"/>
          <w:color w:val="auto"/>
        </w:rPr>
      </w:pPr>
    </w:p>
    <w:p>
      <w:pPr>
        <w:ind w:left="2060" w:right="199" w:hanging="416"/>
        <w:spacing w:after="0" w:line="288" w:lineRule="auto"/>
        <w:tabs>
          <w:tab w:leader="none" w:pos="20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9" w:lineRule="exact"/>
        <w:rPr>
          <w:rFonts w:ascii="Times New Roman" w:cs="Times New Roman" w:eastAsia="Times New Roman" w:hAnsi="Times New Roman"/>
          <w:sz w:val="14"/>
          <w:szCs w:val="14"/>
          <w:color w:val="auto"/>
        </w:rPr>
      </w:pPr>
    </w:p>
    <w:p>
      <w:pPr>
        <w:ind w:left="2060" w:right="219" w:hanging="416"/>
        <w:spacing w:after="0" w:line="260" w:lineRule="auto"/>
        <w:tabs>
          <w:tab w:leader="none" w:pos="20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5" w:lineRule="exact"/>
        <w:rPr>
          <w:sz w:val="20"/>
          <w:szCs w:val="20"/>
          <w:color w:val="auto"/>
        </w:rPr>
      </w:pPr>
    </w:p>
    <w:p>
      <w:pPr>
        <w:ind w:left="1300" w:right="239" w:firstLine="347"/>
        <w:spacing w:after="0" w:line="259"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9"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1300" w:right="21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Eindhoven, The Netherlands, on this 12th day of August, 2025.</w:t>
      </w:r>
    </w:p>
    <w:p>
      <w:pPr>
        <w:spacing w:after="0" w:line="1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NXP SEMICONDUCTORS N.V.</w:t>
      </w:r>
    </w:p>
    <w:p>
      <w:pPr>
        <w:spacing w:after="0" w:line="181"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Kurt Sievers</w:t>
            </w:r>
          </w:p>
        </w:tc>
      </w:tr>
      <w:tr>
        <w:trPr>
          <w:trHeight w:val="147"/>
        </w:trPr>
        <w:tc>
          <w:tcPr>
            <w:tcW w:w="4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Kurt Sievers</w:t>
            </w:r>
          </w:p>
        </w:tc>
      </w:t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56" w:lineRule="exact"/>
        <w:rPr>
          <w:sz w:val="20"/>
          <w:szCs w:val="20"/>
          <w:color w:val="auto"/>
        </w:rPr>
      </w:pPr>
    </w:p>
    <w:p>
      <w:pPr>
        <w:ind w:left="1300" w:right="299" w:firstLine="347"/>
        <w:spacing w:after="0" w:line="258" w:lineRule="auto"/>
        <w:rPr>
          <w:sz w:val="20"/>
          <w:szCs w:val="20"/>
          <w:color w:val="auto"/>
        </w:rPr>
      </w:pPr>
      <w:r>
        <w:rPr>
          <w:rFonts w:ascii="Times New Roman" w:cs="Times New Roman" w:eastAsia="Times New Roman" w:hAnsi="Times New Roman"/>
          <w:sz w:val="14"/>
          <w:szCs w:val="14"/>
          <w:color w:val="auto"/>
        </w:rPr>
        <w:t>In accordance with the requirements of the Securities Act of 1933, as amended, this Registration Statement has been signed by the following persons in the capacities and on the dates stated. Each person whose signature appears below constitutes and appoints Jennifer Wuamett and Timothy Shelhamer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45" w:lineRule="exact"/>
        <w:rPr>
          <w:sz w:val="20"/>
          <w:szCs w:val="20"/>
          <w:color w:val="auto"/>
        </w:rPr>
      </w:pPr>
    </w:p>
    <w:p>
      <w:pPr>
        <w:ind w:left="1300" w:right="19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S-3 has been signed by the following persons in the capacities indicated on August 12, 2025.</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36"/>
        </w:trPr>
        <w:tc>
          <w:tcPr>
            <w:tcW w:w="176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080" w:type="dxa"/>
            <w:vAlign w:val="bottom"/>
          </w:tcPr>
          <w:p>
            <w:pPr>
              <w:spacing w:after="0"/>
              <w:rPr>
                <w:sz w:val="11"/>
                <w:szCs w:val="11"/>
                <w:color w:val="auto"/>
              </w:rPr>
            </w:pPr>
          </w:p>
        </w:tc>
      </w:tr>
      <w:tr>
        <w:trPr>
          <w:trHeight w:val="331"/>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Kurt Sievers</w:t>
            </w:r>
          </w:p>
        </w:tc>
        <w:tc>
          <w:tcPr>
            <w:tcW w:w="4640" w:type="dxa"/>
            <w:vAlign w:val="bottom"/>
            <w:gridSpan w:val="3"/>
          </w:tcPr>
          <w:p>
            <w:pPr>
              <w:jc w:val="center"/>
              <w:ind w:left="169"/>
              <w:spacing w:after="0"/>
              <w:rPr>
                <w:sz w:val="20"/>
                <w:szCs w:val="20"/>
                <w:color w:val="auto"/>
              </w:rPr>
            </w:pPr>
            <w:r>
              <w:rPr>
                <w:rFonts w:ascii="Times New Roman" w:cs="Times New Roman" w:eastAsia="Times New Roman" w:hAnsi="Times New Roman"/>
                <w:sz w:val="14"/>
                <w:szCs w:val="14"/>
                <w:color w:val="auto"/>
              </w:rPr>
              <w:t>Executive Director and Chief Executive Officer (Principal Executive Officer)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Kurt Sievers</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36"/>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William J. Betz</w:t>
            </w:r>
          </w:p>
        </w:tc>
        <w:tc>
          <w:tcPr>
            <w:tcW w:w="4640" w:type="dxa"/>
            <w:vAlign w:val="bottom"/>
            <w:gridSpan w:val="3"/>
          </w:tcPr>
          <w:p>
            <w:pPr>
              <w:jc w:val="center"/>
              <w:ind w:left="149"/>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 Financial</w:t>
            </w:r>
          </w:p>
        </w:tc>
      </w:tr>
      <w:tr>
        <w:trPr>
          <w:trHeight w:val="176"/>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William J. Betz</w:t>
            </w:r>
          </w:p>
        </w:tc>
        <w:tc>
          <w:tcPr>
            <w:tcW w:w="4640" w:type="dxa"/>
            <w:vAlign w:val="bottom"/>
            <w:gridSpan w:val="3"/>
          </w:tcPr>
          <w:p>
            <w:pPr>
              <w:jc w:val="center"/>
              <w:ind w:left="169"/>
              <w:spacing w:after="0"/>
              <w:rPr>
                <w:sz w:val="20"/>
                <w:szCs w:val="20"/>
                <w:color w:val="auto"/>
              </w:rPr>
            </w:pPr>
            <w:r>
              <w:rPr>
                <w:rFonts w:ascii="Times New Roman" w:cs="Times New Roman" w:eastAsia="Times New Roman" w:hAnsi="Times New Roman"/>
                <w:sz w:val="14"/>
                <w:szCs w:val="14"/>
                <w:color w:val="auto"/>
              </w:rPr>
              <w:t>Officer, Principal Accounting Officer)</w:t>
            </w: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Annette Clayton</w:t>
            </w:r>
          </w:p>
        </w:tc>
        <w:tc>
          <w:tcPr>
            <w:tcW w:w="4640" w:type="dxa"/>
            <w:vAlign w:val="bottom"/>
            <w:gridSpan w:val="3"/>
          </w:tcPr>
          <w:p>
            <w:pPr>
              <w:jc w:val="center"/>
              <w:ind w:left="169"/>
              <w:spacing w:after="0"/>
              <w:rPr>
                <w:sz w:val="20"/>
                <w:szCs w:val="20"/>
                <w:color w:val="auto"/>
              </w:rPr>
            </w:pPr>
            <w:r>
              <w:rPr>
                <w:rFonts w:ascii="Times New Roman" w:cs="Times New Roman" w:eastAsia="Times New Roman" w:hAnsi="Times New Roman"/>
                <w:sz w:val="14"/>
                <w:szCs w:val="14"/>
                <w:color w:val="auto"/>
              </w:rPr>
              <w:t>Non-Executive 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Annette Clayton</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Anthony Foxx</w:t>
            </w:r>
          </w:p>
        </w:tc>
        <w:tc>
          <w:tcPr>
            <w:tcW w:w="4640" w:type="dxa"/>
            <w:vAlign w:val="bottom"/>
            <w:gridSpan w:val="3"/>
          </w:tcPr>
          <w:p>
            <w:pPr>
              <w:jc w:val="center"/>
              <w:ind w:left="169"/>
              <w:spacing w:after="0"/>
              <w:rPr>
                <w:sz w:val="20"/>
                <w:szCs w:val="20"/>
                <w:color w:val="auto"/>
              </w:rPr>
            </w:pPr>
            <w:r>
              <w:rPr>
                <w:rFonts w:ascii="Times New Roman" w:cs="Times New Roman" w:eastAsia="Times New Roman" w:hAnsi="Times New Roman"/>
                <w:sz w:val="14"/>
                <w:szCs w:val="14"/>
                <w:color w:val="auto"/>
              </w:rPr>
              <w:t>Non-Executive 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Anthony Foxx</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Moshe Gavrielov</w:t>
            </w:r>
          </w:p>
        </w:tc>
        <w:tc>
          <w:tcPr>
            <w:tcW w:w="4640" w:type="dxa"/>
            <w:vAlign w:val="bottom"/>
            <w:gridSpan w:val="3"/>
          </w:tcPr>
          <w:p>
            <w:pPr>
              <w:jc w:val="center"/>
              <w:ind w:left="169"/>
              <w:spacing w:after="0"/>
              <w:rPr>
                <w:sz w:val="20"/>
                <w:szCs w:val="20"/>
                <w:color w:val="auto"/>
              </w:rPr>
            </w:pPr>
            <w:r>
              <w:rPr>
                <w:rFonts w:ascii="Times New Roman" w:cs="Times New Roman" w:eastAsia="Times New Roman" w:hAnsi="Times New Roman"/>
                <w:sz w:val="14"/>
                <w:szCs w:val="14"/>
                <w:color w:val="auto"/>
              </w:rPr>
              <w:t>Non-Executive 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Moshe Gavrielov</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Chunyuan Gu</w:t>
            </w:r>
          </w:p>
        </w:tc>
        <w:tc>
          <w:tcPr>
            <w:tcW w:w="4640" w:type="dxa"/>
            <w:vAlign w:val="bottom"/>
            <w:gridSpan w:val="3"/>
          </w:tcPr>
          <w:p>
            <w:pPr>
              <w:jc w:val="center"/>
              <w:ind w:left="169"/>
              <w:spacing w:after="0"/>
              <w:rPr>
                <w:sz w:val="20"/>
                <w:szCs w:val="20"/>
                <w:color w:val="auto"/>
              </w:rPr>
            </w:pPr>
            <w:r>
              <w:rPr>
                <w:rFonts w:ascii="Times New Roman" w:cs="Times New Roman" w:eastAsia="Times New Roman" w:hAnsi="Times New Roman"/>
                <w:sz w:val="14"/>
                <w:szCs w:val="14"/>
                <w:color w:val="auto"/>
              </w:rPr>
              <w:t>Non-Executive 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Chunyuan Gu</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Lena Olving</w:t>
            </w:r>
          </w:p>
        </w:tc>
        <w:tc>
          <w:tcPr>
            <w:tcW w:w="4640" w:type="dxa"/>
            <w:vAlign w:val="bottom"/>
            <w:gridSpan w:val="3"/>
          </w:tcPr>
          <w:p>
            <w:pPr>
              <w:jc w:val="center"/>
              <w:ind w:left="169"/>
              <w:spacing w:after="0"/>
              <w:rPr>
                <w:sz w:val="20"/>
                <w:szCs w:val="20"/>
                <w:color w:val="auto"/>
              </w:rPr>
            </w:pPr>
            <w:r>
              <w:rPr>
                <w:rFonts w:ascii="Times New Roman" w:cs="Times New Roman" w:eastAsia="Times New Roman" w:hAnsi="Times New Roman"/>
                <w:sz w:val="14"/>
                <w:szCs w:val="14"/>
                <w:color w:val="auto"/>
              </w:rPr>
              <w:t>Non-Executive 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Lena Olving</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83"/>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II-5</w:t>
            </w:r>
          </w:p>
        </w:tc>
      </w:tr>
    </w:tbl>
    <w:p>
      <w:pPr>
        <w:sectPr>
          <w:pgSz w:w="11900" w:h="16838" w:orient="portrait"/>
          <w:cols w:equalWidth="0" w:num="1">
            <w:col w:w="10159"/>
          </w:cols>
          <w:pgMar w:left="300" w:top="389"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300" w:type="dxa"/>
        <w:tblCellMar>
          <w:top w:w="0" w:type="dxa"/>
          <w:left w:w="0" w:type="dxa"/>
          <w:bottom w:w="0" w:type="dxa"/>
          <w:right w:w="0" w:type="dxa"/>
        </w:tblCellMar>
      </w:tblPr>
      <w:tr>
        <w:trPr>
          <w:trHeight w:val="136"/>
        </w:trPr>
        <w:tc>
          <w:tcPr>
            <w:tcW w:w="176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220" w:type="dxa"/>
            <w:vAlign w:val="bottom"/>
          </w:tcPr>
          <w:p>
            <w:pPr>
              <w:spacing w:after="0"/>
              <w:rPr>
                <w:sz w:val="11"/>
                <w:szCs w:val="11"/>
                <w:color w:val="auto"/>
              </w:rPr>
            </w:pPr>
          </w:p>
        </w:tc>
      </w:tr>
      <w:tr>
        <w:trPr>
          <w:trHeight w:val="331"/>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Julie Southern</w:t>
            </w:r>
          </w:p>
        </w:tc>
        <w:tc>
          <w:tcPr>
            <w:tcW w:w="378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Non-Executive Director and Chair of the Board</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Julie Southern</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Jasmin Staiblin</w:t>
            </w:r>
          </w:p>
        </w:tc>
        <w:tc>
          <w:tcPr>
            <w:tcW w:w="3780" w:type="dxa"/>
            <w:vAlign w:val="bottom"/>
            <w:gridSpan w:val="3"/>
          </w:tcPr>
          <w:p>
            <w:pPr>
              <w:jc w:val="center"/>
              <w:ind w:left="1029"/>
              <w:spacing w:after="0"/>
              <w:rPr>
                <w:sz w:val="20"/>
                <w:szCs w:val="20"/>
                <w:color w:val="auto"/>
              </w:rPr>
            </w:pPr>
            <w:r>
              <w:rPr>
                <w:rFonts w:ascii="Times New Roman" w:cs="Times New Roman" w:eastAsia="Times New Roman" w:hAnsi="Times New Roman"/>
                <w:sz w:val="14"/>
                <w:szCs w:val="14"/>
                <w:color w:val="auto"/>
              </w:rPr>
              <w:t>Non-Executive 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Jasmin Staiblin</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Gregory L. Summe</w:t>
            </w:r>
          </w:p>
        </w:tc>
        <w:tc>
          <w:tcPr>
            <w:tcW w:w="3780" w:type="dxa"/>
            <w:vAlign w:val="bottom"/>
            <w:gridSpan w:val="3"/>
          </w:tcPr>
          <w:p>
            <w:pPr>
              <w:jc w:val="center"/>
              <w:ind w:left="1029"/>
              <w:spacing w:after="0"/>
              <w:rPr>
                <w:sz w:val="20"/>
                <w:szCs w:val="20"/>
                <w:color w:val="auto"/>
              </w:rPr>
            </w:pPr>
            <w:r>
              <w:rPr>
                <w:rFonts w:ascii="Times New Roman" w:cs="Times New Roman" w:eastAsia="Times New Roman" w:hAnsi="Times New Roman"/>
                <w:sz w:val="14"/>
                <w:szCs w:val="14"/>
                <w:color w:val="auto"/>
              </w:rPr>
              <w:t>Non-Executive 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Gregory L. Summe</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Karl-Henrik Sundström</w:t>
            </w:r>
          </w:p>
        </w:tc>
        <w:tc>
          <w:tcPr>
            <w:tcW w:w="3780" w:type="dxa"/>
            <w:vAlign w:val="bottom"/>
            <w:gridSpan w:val="3"/>
          </w:tcPr>
          <w:p>
            <w:pPr>
              <w:jc w:val="center"/>
              <w:ind w:left="1029"/>
              <w:spacing w:after="0"/>
              <w:rPr>
                <w:sz w:val="20"/>
                <w:szCs w:val="20"/>
                <w:color w:val="auto"/>
              </w:rPr>
            </w:pPr>
            <w:r>
              <w:rPr>
                <w:rFonts w:ascii="Times New Roman" w:cs="Times New Roman" w:eastAsia="Times New Roman" w:hAnsi="Times New Roman"/>
                <w:sz w:val="14"/>
                <w:szCs w:val="14"/>
                <w:color w:val="auto"/>
              </w:rPr>
              <w:t>Non-Executive 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Karl-Henrik Sundström</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83"/>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7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II-6</w:t>
            </w:r>
          </w:p>
        </w:tc>
      </w:tr>
    </w:tbl>
    <w:p>
      <w:pPr>
        <w:sectPr>
          <w:pgSz w:w="11900" w:h="16838" w:orient="portrait"/>
          <w:cols w:equalWidth="0" w:num="1">
            <w:col w:w="10159"/>
          </w:cols>
          <w:pgMar w:left="300" w:top="389"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1300" w:right="21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Eindhoven, The Netherlands, on this 12th day of August, 2025.</w:t>
      </w:r>
    </w:p>
    <w:p>
      <w:pPr>
        <w:spacing w:after="0" w:line="1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NXP B.V.</w:t>
      </w:r>
    </w:p>
    <w:p>
      <w:pPr>
        <w:spacing w:after="0" w:line="1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Luc de Dobbeleer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15240</wp:posOffset>
            </wp:positionV>
            <wp:extent cx="201993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019935" cy="6985"/>
                    </a:xfrm>
                    <a:prstGeom prst="rect">
                      <a:avLst/>
                    </a:prstGeom>
                    <a:noFill/>
                  </pic:spPr>
                </pic:pic>
              </a:graphicData>
            </a:graphic>
          </wp:anchor>
        </w:drawing>
      </w:r>
    </w:p>
    <w:p>
      <w:pPr>
        <w:spacing w:after="0" w:line="1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Name: Luc de Dobbeleer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Title:   Director / Authorized Representative</w:t>
      </w:r>
    </w:p>
    <w:p>
      <w:pPr>
        <w:spacing w:after="0" w:line="165" w:lineRule="exact"/>
        <w:rPr>
          <w:sz w:val="20"/>
          <w:szCs w:val="20"/>
          <w:color w:val="auto"/>
        </w:rPr>
      </w:pPr>
    </w:p>
    <w:p>
      <w:pPr>
        <w:ind w:left="1300" w:right="299" w:firstLine="347"/>
        <w:spacing w:after="0" w:line="258" w:lineRule="auto"/>
        <w:rPr>
          <w:sz w:val="20"/>
          <w:szCs w:val="20"/>
          <w:color w:val="auto"/>
        </w:rPr>
      </w:pPr>
      <w:r>
        <w:rPr>
          <w:rFonts w:ascii="Times New Roman" w:cs="Times New Roman" w:eastAsia="Times New Roman" w:hAnsi="Times New Roman"/>
          <w:sz w:val="14"/>
          <w:szCs w:val="14"/>
          <w:color w:val="auto"/>
        </w:rPr>
        <w:t>In accordance with the requirements of the Securities Act of 1933, as amended, this Registration Statement has been signed by the following persons in the capacities and on the dates stated. Each person whose signature appears below constitutes and appoints Jennifer Wuamett and Timothy Shelhamer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45" w:lineRule="exact"/>
        <w:rPr>
          <w:sz w:val="20"/>
          <w:szCs w:val="20"/>
          <w:color w:val="auto"/>
        </w:rPr>
      </w:pPr>
    </w:p>
    <w:p>
      <w:pPr>
        <w:ind w:left="1300" w:right="19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S-3 has been signed by the following persons in the capacities indicated on August 12, 2025.</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36"/>
        </w:trPr>
        <w:tc>
          <w:tcPr>
            <w:tcW w:w="176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920" w:type="dxa"/>
            <w:vAlign w:val="bottom"/>
          </w:tcPr>
          <w:p>
            <w:pPr>
              <w:spacing w:after="0"/>
              <w:rPr>
                <w:sz w:val="11"/>
                <w:szCs w:val="11"/>
                <w:color w:val="auto"/>
              </w:rPr>
            </w:pPr>
          </w:p>
        </w:tc>
      </w:tr>
      <w:tr>
        <w:trPr>
          <w:trHeight w:val="331"/>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Maarten Dirkzwager</w:t>
            </w:r>
          </w:p>
        </w:tc>
        <w:tc>
          <w:tcPr>
            <w:tcW w:w="3480" w:type="dxa"/>
            <w:vAlign w:val="bottom"/>
            <w:gridSpan w:val="3"/>
          </w:tcPr>
          <w:p>
            <w:pPr>
              <w:jc w:val="center"/>
              <w:ind w:left="1329"/>
              <w:spacing w:after="0"/>
              <w:rPr>
                <w:sz w:val="20"/>
                <w:szCs w:val="20"/>
                <w:color w:val="auto"/>
              </w:rPr>
            </w:pPr>
            <w:r>
              <w:rPr>
                <w:rFonts w:ascii="Times New Roman" w:cs="Times New Roman" w:eastAsia="Times New Roman" w:hAnsi="Times New Roman"/>
                <w:sz w:val="14"/>
                <w:szCs w:val="14"/>
                <w:color w:val="auto"/>
              </w:rPr>
              <w:t>Director/ Authorized Representative</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Maarten Dirkzwager</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Timothy Shelhamer</w:t>
            </w:r>
          </w:p>
        </w:tc>
        <w:tc>
          <w:tcPr>
            <w:tcW w:w="3480" w:type="dxa"/>
            <w:vAlign w:val="bottom"/>
            <w:gridSpan w:val="3"/>
          </w:tcPr>
          <w:p>
            <w:pPr>
              <w:jc w:val="center"/>
              <w:ind w:left="1329"/>
              <w:spacing w:after="0"/>
              <w:rPr>
                <w:sz w:val="20"/>
                <w:szCs w:val="20"/>
                <w:color w:val="auto"/>
              </w:rPr>
            </w:pPr>
            <w:r>
              <w:rPr>
                <w:rFonts w:ascii="Times New Roman" w:cs="Times New Roman" w:eastAsia="Times New Roman" w:hAnsi="Times New Roman"/>
                <w:sz w:val="14"/>
                <w:szCs w:val="14"/>
                <w:color w:val="auto"/>
              </w:rPr>
              <w:t>Director/ Authorized Representative</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Timothy Shelhamer</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Bryan David Moiles</w:t>
            </w:r>
          </w:p>
        </w:tc>
        <w:tc>
          <w:tcPr>
            <w:tcW w:w="3480" w:type="dxa"/>
            <w:vAlign w:val="bottom"/>
            <w:gridSpan w:val="3"/>
          </w:tcPr>
          <w:p>
            <w:pPr>
              <w:jc w:val="center"/>
              <w:ind w:left="1329"/>
              <w:spacing w:after="0"/>
              <w:rPr>
                <w:sz w:val="20"/>
                <w:szCs w:val="20"/>
                <w:color w:val="auto"/>
              </w:rPr>
            </w:pPr>
            <w:r>
              <w:rPr>
                <w:rFonts w:ascii="Times New Roman" w:cs="Times New Roman" w:eastAsia="Times New Roman" w:hAnsi="Times New Roman"/>
                <w:sz w:val="14"/>
                <w:szCs w:val="14"/>
                <w:color w:val="auto"/>
              </w:rPr>
              <w:t>Director/ Authorized Representative</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Bryan David Moiles</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Luc de Dobbeleer</w:t>
            </w:r>
          </w:p>
        </w:tc>
        <w:tc>
          <w:tcPr>
            <w:tcW w:w="3480" w:type="dxa"/>
            <w:vAlign w:val="bottom"/>
            <w:gridSpan w:val="3"/>
          </w:tcPr>
          <w:p>
            <w:pPr>
              <w:jc w:val="center"/>
              <w:ind w:left="1329"/>
              <w:spacing w:after="0"/>
              <w:rPr>
                <w:sz w:val="20"/>
                <w:szCs w:val="20"/>
                <w:color w:val="auto"/>
              </w:rPr>
            </w:pPr>
            <w:r>
              <w:rPr>
                <w:rFonts w:ascii="Times New Roman" w:cs="Times New Roman" w:eastAsia="Times New Roman" w:hAnsi="Times New Roman"/>
                <w:sz w:val="14"/>
                <w:szCs w:val="14"/>
                <w:color w:val="auto"/>
              </w:rPr>
              <w:t>Director/ Authorized Representative</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Luc de Dobbeleer</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83"/>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II-7</w:t>
            </w:r>
          </w:p>
        </w:tc>
      </w:tr>
    </w:tbl>
    <w:p>
      <w:pPr>
        <w:sectPr>
          <w:pgSz w:w="11900" w:h="16838" w:orient="portrait"/>
          <w:cols w:equalWidth="0" w:num="1">
            <w:col w:w="10159"/>
          </w:cols>
          <w:pgMar w:left="300" w:top="38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1300" w:right="219"/>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Eindhoven, The Netherlands, on this 12th day of August, 2025.</w:t>
      </w:r>
    </w:p>
    <w:p>
      <w:pPr>
        <w:spacing w:after="0" w:line="1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NXP FUNDING LLC</w:t>
      </w:r>
    </w:p>
    <w:p>
      <w:pPr>
        <w:spacing w:after="0" w:line="18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Luc de Dobbeleer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15240</wp:posOffset>
            </wp:positionV>
            <wp:extent cx="201993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019935" cy="6985"/>
                    </a:xfrm>
                    <a:prstGeom prst="rect">
                      <a:avLst/>
                    </a:prstGeom>
                    <a:noFill/>
                  </pic:spPr>
                </pic:pic>
              </a:graphicData>
            </a:graphic>
          </wp:anchor>
        </w:drawing>
      </w:r>
    </w:p>
    <w:p>
      <w:pPr>
        <w:spacing w:after="0" w:line="1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Name: Luc de Dobbeleer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Title:   President</w:t>
      </w:r>
    </w:p>
    <w:p>
      <w:pPr>
        <w:spacing w:after="0" w:line="165" w:lineRule="exact"/>
        <w:rPr>
          <w:sz w:val="20"/>
          <w:szCs w:val="20"/>
          <w:color w:val="auto"/>
        </w:rPr>
      </w:pPr>
    </w:p>
    <w:p>
      <w:pPr>
        <w:ind w:left="1300" w:right="299" w:firstLine="347"/>
        <w:spacing w:after="0" w:line="258" w:lineRule="auto"/>
        <w:rPr>
          <w:sz w:val="20"/>
          <w:szCs w:val="20"/>
          <w:color w:val="auto"/>
        </w:rPr>
      </w:pPr>
      <w:r>
        <w:rPr>
          <w:rFonts w:ascii="Times New Roman" w:cs="Times New Roman" w:eastAsia="Times New Roman" w:hAnsi="Times New Roman"/>
          <w:sz w:val="14"/>
          <w:szCs w:val="14"/>
          <w:color w:val="auto"/>
        </w:rPr>
        <w:t>In accordance with the requirements of the Securities Act of 1933, as amended, this Registration Statement has been signed by the following persons in the capacities and on the dates stated. Each person whose signature appears below constitutes and appoints Jennifer Wuamett and Timothy Shelhamer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45" w:lineRule="exact"/>
        <w:rPr>
          <w:sz w:val="20"/>
          <w:szCs w:val="20"/>
          <w:color w:val="auto"/>
        </w:rPr>
      </w:pPr>
    </w:p>
    <w:p>
      <w:pPr>
        <w:ind w:left="1300" w:right="19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S-3 has been signed by the following persons in the capacities indicated on August 12, 2025.</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36"/>
        </w:trPr>
        <w:tc>
          <w:tcPr>
            <w:tcW w:w="19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20" w:type="dxa"/>
            <w:vAlign w:val="bottom"/>
            <w:gridSpan w:val="3"/>
          </w:tcPr>
          <w:p>
            <w:pPr>
              <w:jc w:val="center"/>
              <w:ind w:left="1733"/>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20"/>
        </w:trPr>
        <w:tc>
          <w:tcPr>
            <w:tcW w:w="1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31"/>
        </w:trPr>
        <w:tc>
          <w:tcPr>
            <w:tcW w:w="3560" w:type="dxa"/>
            <w:vAlign w:val="bottom"/>
            <w:tcBorders>
              <w:bottom w:val="single" w:sz="8" w:color="auto"/>
            </w:tcBorders>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/s/ Luc de Dobbeleer</w:t>
            </w:r>
          </w:p>
        </w:tc>
        <w:tc>
          <w:tcPr>
            <w:tcW w:w="880" w:type="dxa"/>
            <w:vAlign w:val="bottom"/>
            <w:tcBorders>
              <w:bottom w:val="single" w:sz="8" w:color="auto"/>
            </w:tcBorders>
          </w:tcPr>
          <w:p>
            <w:pPr>
              <w:spacing w:after="0"/>
              <w:rPr>
                <w:sz w:val="24"/>
                <w:szCs w:val="24"/>
                <w:color w:val="auto"/>
              </w:rPr>
            </w:pPr>
          </w:p>
        </w:tc>
        <w:tc>
          <w:tcPr>
            <w:tcW w:w="2620" w:type="dxa"/>
            <w:vAlign w:val="bottom"/>
            <w:gridSpan w:val="3"/>
          </w:tcPr>
          <w:p>
            <w:pPr>
              <w:jc w:val="center"/>
              <w:ind w:left="1733"/>
              <w:spacing w:after="0"/>
              <w:rPr>
                <w:sz w:val="20"/>
                <w:szCs w:val="20"/>
                <w:color w:val="auto"/>
              </w:rPr>
            </w:pPr>
            <w:r>
              <w:rPr>
                <w:rFonts w:ascii="Times New Roman" w:cs="Times New Roman" w:eastAsia="Times New Roman" w:hAnsi="Times New Roman"/>
                <w:sz w:val="14"/>
                <w:szCs w:val="14"/>
                <w:color w:val="auto"/>
              </w:rPr>
              <w:t>President</w:t>
            </w:r>
          </w:p>
        </w:tc>
      </w:tr>
      <w:tr>
        <w:trPr>
          <w:trHeight w:val="175"/>
        </w:trPr>
        <w:tc>
          <w:tcPr>
            <w:tcW w:w="356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w w:val="99"/>
              </w:rPr>
              <w:t>Luc de Dobbeleer</w:t>
            </w:r>
          </w:p>
        </w:tc>
        <w:tc>
          <w:tcPr>
            <w:tcW w:w="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337"/>
        </w:trPr>
        <w:tc>
          <w:tcPr>
            <w:tcW w:w="3560" w:type="dxa"/>
            <w:vAlign w:val="bottom"/>
            <w:tcBorders>
              <w:bottom w:val="single" w:sz="8" w:color="auto"/>
            </w:tcBorders>
            <w:gridSpan w:val="3"/>
          </w:tcPr>
          <w:p>
            <w:pPr>
              <w:jc w:val="center"/>
              <w:ind w:left="809"/>
              <w:spacing w:after="0"/>
              <w:rPr>
                <w:sz w:val="20"/>
                <w:szCs w:val="20"/>
                <w:color w:val="auto"/>
              </w:rPr>
            </w:pPr>
            <w:r>
              <w:rPr>
                <w:rFonts w:ascii="Times New Roman" w:cs="Times New Roman" w:eastAsia="Times New Roman" w:hAnsi="Times New Roman"/>
                <w:sz w:val="14"/>
                <w:szCs w:val="14"/>
                <w:color w:val="auto"/>
                <w:w w:val="99"/>
              </w:rPr>
              <w:t>/s/ Jennifer Wuamett</w:t>
            </w:r>
          </w:p>
        </w:tc>
        <w:tc>
          <w:tcPr>
            <w:tcW w:w="880" w:type="dxa"/>
            <w:vAlign w:val="bottom"/>
            <w:tcBorders>
              <w:bottom w:val="single" w:sz="8" w:color="auto"/>
            </w:tcBorders>
          </w:tcPr>
          <w:p>
            <w:pPr>
              <w:spacing w:after="0"/>
              <w:rPr>
                <w:sz w:val="24"/>
                <w:szCs w:val="24"/>
                <w:color w:val="auto"/>
              </w:rPr>
            </w:pPr>
          </w:p>
        </w:tc>
        <w:tc>
          <w:tcPr>
            <w:tcW w:w="2620" w:type="dxa"/>
            <w:vAlign w:val="bottom"/>
            <w:gridSpan w:val="3"/>
          </w:tcPr>
          <w:p>
            <w:pPr>
              <w:jc w:val="center"/>
              <w:ind w:left="1733"/>
              <w:spacing w:after="0"/>
              <w:rPr>
                <w:sz w:val="20"/>
                <w:szCs w:val="20"/>
                <w:color w:val="auto"/>
              </w:rPr>
            </w:pPr>
            <w:r>
              <w:rPr>
                <w:rFonts w:ascii="Times New Roman" w:cs="Times New Roman" w:eastAsia="Times New Roman" w:hAnsi="Times New Roman"/>
                <w:sz w:val="14"/>
                <w:szCs w:val="14"/>
                <w:color w:val="auto"/>
                <w:w w:val="99"/>
              </w:rPr>
              <w:t>Vice President</w:t>
            </w:r>
          </w:p>
        </w:tc>
      </w:tr>
      <w:tr>
        <w:trPr>
          <w:trHeight w:val="175"/>
        </w:trPr>
        <w:tc>
          <w:tcPr>
            <w:tcW w:w="356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Jennifer Wuamett</w:t>
            </w:r>
          </w:p>
        </w:tc>
        <w:tc>
          <w:tcPr>
            <w:tcW w:w="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337"/>
        </w:trPr>
        <w:tc>
          <w:tcPr>
            <w:tcW w:w="3560" w:type="dxa"/>
            <w:vAlign w:val="bottom"/>
            <w:tcBorders>
              <w:bottom w:val="single" w:sz="8" w:color="auto"/>
            </w:tcBorders>
            <w:gridSpan w:val="3"/>
          </w:tcPr>
          <w:p>
            <w:pPr>
              <w:jc w:val="center"/>
              <w:ind w:left="809"/>
              <w:spacing w:after="0"/>
              <w:rPr>
                <w:sz w:val="20"/>
                <w:szCs w:val="20"/>
                <w:color w:val="auto"/>
              </w:rPr>
            </w:pPr>
            <w:r>
              <w:rPr>
                <w:rFonts w:ascii="Times New Roman" w:cs="Times New Roman" w:eastAsia="Times New Roman" w:hAnsi="Times New Roman"/>
                <w:sz w:val="14"/>
                <w:szCs w:val="14"/>
                <w:color w:val="auto"/>
                <w:w w:val="99"/>
              </w:rPr>
              <w:t>/s/ Timothy Shelhamer</w:t>
            </w:r>
          </w:p>
        </w:tc>
        <w:tc>
          <w:tcPr>
            <w:tcW w:w="880" w:type="dxa"/>
            <w:vAlign w:val="bottom"/>
            <w:tcBorders>
              <w:bottom w:val="single" w:sz="8" w:color="auto"/>
            </w:tcBorders>
          </w:tcPr>
          <w:p>
            <w:pPr>
              <w:spacing w:after="0"/>
              <w:rPr>
                <w:sz w:val="24"/>
                <w:szCs w:val="24"/>
                <w:color w:val="auto"/>
              </w:rPr>
            </w:pPr>
          </w:p>
        </w:tc>
        <w:tc>
          <w:tcPr>
            <w:tcW w:w="2620" w:type="dxa"/>
            <w:vAlign w:val="bottom"/>
            <w:gridSpan w:val="3"/>
          </w:tcPr>
          <w:p>
            <w:pPr>
              <w:jc w:val="center"/>
              <w:ind w:left="1733"/>
              <w:spacing w:after="0"/>
              <w:rPr>
                <w:sz w:val="20"/>
                <w:szCs w:val="20"/>
                <w:color w:val="auto"/>
              </w:rPr>
            </w:pPr>
            <w:r>
              <w:rPr>
                <w:rFonts w:ascii="Times New Roman" w:cs="Times New Roman" w:eastAsia="Times New Roman" w:hAnsi="Times New Roman"/>
                <w:sz w:val="14"/>
                <w:szCs w:val="14"/>
                <w:color w:val="auto"/>
              </w:rPr>
              <w:t>Secretary</w:t>
            </w:r>
          </w:p>
        </w:tc>
      </w:tr>
      <w:tr>
        <w:trPr>
          <w:trHeight w:val="175"/>
        </w:trPr>
        <w:tc>
          <w:tcPr>
            <w:tcW w:w="356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Timothy Shelhamer</w:t>
            </w:r>
          </w:p>
        </w:tc>
        <w:tc>
          <w:tcPr>
            <w:tcW w:w="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8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00" w:type="dxa"/>
            <w:vAlign w:val="bottom"/>
            <w:gridSpan w:val="4"/>
          </w:tcPr>
          <w:p>
            <w:pPr>
              <w:ind w:left="680"/>
              <w:spacing w:after="0"/>
              <w:rPr>
                <w:sz w:val="20"/>
                <w:szCs w:val="20"/>
                <w:color w:val="auto"/>
              </w:rPr>
            </w:pPr>
            <w:r>
              <w:rPr>
                <w:rFonts w:ascii="Times New Roman" w:cs="Times New Roman" w:eastAsia="Times New Roman" w:hAnsi="Times New Roman"/>
                <w:sz w:val="14"/>
                <w:szCs w:val="14"/>
                <w:color w:val="auto"/>
              </w:rPr>
              <w:t>II-8</w:t>
            </w:r>
          </w:p>
        </w:tc>
      </w:tr>
    </w:tbl>
    <w:p>
      <w:pPr>
        <w:sectPr>
          <w:pgSz w:w="11900" w:h="16838" w:orient="portrait"/>
          <w:cols w:equalWidth="0" w:num="1">
            <w:col w:w="10159"/>
          </w:cols>
          <w:pgMar w:left="300" w:top="389"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1300" w:right="21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Eindhoven, The Netherlands, on this 12th day of August, 2025.</w:t>
      </w:r>
    </w:p>
    <w:p>
      <w:pPr>
        <w:spacing w:after="0" w:line="1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NXP USA, INC.</w:t>
      </w:r>
    </w:p>
    <w:p>
      <w:pPr>
        <w:spacing w:after="0" w:line="18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Jennifer Wuamett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15240</wp:posOffset>
            </wp:positionV>
            <wp:extent cx="201993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019935" cy="6985"/>
                    </a:xfrm>
                    <a:prstGeom prst="rect">
                      <a:avLst/>
                    </a:prstGeom>
                    <a:noFill/>
                  </pic:spPr>
                </pic:pic>
              </a:graphicData>
            </a:graphic>
          </wp:anchor>
        </w:drawing>
      </w:r>
    </w:p>
    <w:p>
      <w:pPr>
        <w:spacing w:after="0" w:line="1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Name: Jennifer Wuamett</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Title:   Director, President and Secretary</w:t>
      </w:r>
    </w:p>
    <w:p>
      <w:pPr>
        <w:spacing w:after="0" w:line="165" w:lineRule="exact"/>
        <w:rPr>
          <w:sz w:val="20"/>
          <w:szCs w:val="20"/>
          <w:color w:val="auto"/>
        </w:rPr>
      </w:pPr>
    </w:p>
    <w:p>
      <w:pPr>
        <w:ind w:left="1300" w:right="299" w:firstLine="347"/>
        <w:spacing w:after="0" w:line="258" w:lineRule="auto"/>
        <w:rPr>
          <w:sz w:val="20"/>
          <w:szCs w:val="20"/>
          <w:color w:val="auto"/>
        </w:rPr>
      </w:pPr>
      <w:r>
        <w:rPr>
          <w:rFonts w:ascii="Times New Roman" w:cs="Times New Roman" w:eastAsia="Times New Roman" w:hAnsi="Times New Roman"/>
          <w:sz w:val="14"/>
          <w:szCs w:val="14"/>
          <w:color w:val="auto"/>
        </w:rPr>
        <w:t>In accordance with the requirements of the Securities Act of 1933, as amended, this Registration Statement has been signed by the following persons in the capacities and on the dates stated. Each person whose signature appears below constitutes and appoints Jennifer Wuamett and Timothy Shelhamer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45" w:lineRule="exact"/>
        <w:rPr>
          <w:sz w:val="20"/>
          <w:szCs w:val="20"/>
          <w:color w:val="auto"/>
        </w:rPr>
      </w:pPr>
    </w:p>
    <w:p>
      <w:pPr>
        <w:ind w:left="1300" w:right="19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S-3 has been signed by the following persons in the capacities indicated on August 12, 2025.</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36"/>
        </w:trPr>
        <w:tc>
          <w:tcPr>
            <w:tcW w:w="176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20" w:type="dxa"/>
            <w:vAlign w:val="bottom"/>
          </w:tcPr>
          <w:p>
            <w:pPr>
              <w:spacing w:after="0"/>
              <w:rPr>
                <w:sz w:val="11"/>
                <w:szCs w:val="11"/>
                <w:color w:val="auto"/>
              </w:rPr>
            </w:pPr>
          </w:p>
        </w:tc>
      </w:tr>
      <w:tr>
        <w:trPr>
          <w:trHeight w:val="331"/>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Jennifer Wuamett</w:t>
            </w:r>
          </w:p>
        </w:tc>
        <w:tc>
          <w:tcPr>
            <w:tcW w:w="3380" w:type="dxa"/>
            <w:vAlign w:val="bottom"/>
            <w:gridSpan w:val="3"/>
          </w:tcPr>
          <w:p>
            <w:pPr>
              <w:jc w:val="center"/>
              <w:ind w:left="1429"/>
              <w:spacing w:after="0"/>
              <w:rPr>
                <w:sz w:val="20"/>
                <w:szCs w:val="20"/>
                <w:color w:val="auto"/>
              </w:rPr>
            </w:pPr>
            <w:r>
              <w:rPr>
                <w:rFonts w:ascii="Times New Roman" w:cs="Times New Roman" w:eastAsia="Times New Roman" w:hAnsi="Times New Roman"/>
                <w:sz w:val="14"/>
                <w:szCs w:val="14"/>
                <w:color w:val="auto"/>
              </w:rPr>
              <w:t>Director, President and Secretary</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Jennifer Wuamett</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Christopher Jensen</w:t>
            </w:r>
          </w:p>
        </w:tc>
        <w:tc>
          <w:tcPr>
            <w:tcW w:w="3380" w:type="dxa"/>
            <w:vAlign w:val="bottom"/>
            <w:gridSpan w:val="3"/>
          </w:tcPr>
          <w:p>
            <w:pPr>
              <w:jc w:val="center"/>
              <w:ind w:left="142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Christopher Jensen</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37"/>
        </w:trPr>
        <w:tc>
          <w:tcPr>
            <w:tcW w:w="3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Jim Norling</w:t>
            </w:r>
          </w:p>
        </w:tc>
        <w:tc>
          <w:tcPr>
            <w:tcW w:w="3380" w:type="dxa"/>
            <w:vAlign w:val="bottom"/>
            <w:gridSpan w:val="3"/>
          </w:tcPr>
          <w:p>
            <w:pPr>
              <w:jc w:val="center"/>
              <w:ind w:left="1429"/>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Jim Norling</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83"/>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II-9</w:t>
            </w:r>
          </w:p>
        </w:tc>
      </w:tr>
    </w:tbl>
    <w:p>
      <w:pPr>
        <w:sectPr>
          <w:pgSz w:w="11900" w:h="16838" w:orient="portrait"/>
          <w:cols w:equalWidth="0" w:num="1">
            <w:col w:w="10159"/>
          </w:cols>
          <w:pgMar w:left="300" w:top="389" w:right="1440" w:bottom="1440" w:gutter="0" w:footer="0" w:header="0"/>
        </w:sectPr>
      </w:pPr>
    </w:p>
    <w:bookmarkStart w:id="27" w:name="page28"/>
    <w:bookmarkEnd w:id="27"/>
    <w:p>
      <w:pPr>
        <w:spacing w:after="0" w:line="364" w:lineRule="exact"/>
        <w:rPr>
          <w:sz w:val="20"/>
          <w:szCs w:val="20"/>
          <w:color w:val="auto"/>
        </w:rPr>
      </w:pPr>
    </w:p>
    <w:tbl>
      <w:tblPr>
        <w:tblLayout w:type="fixed"/>
        <w:tblInd w:w="1460" w:type="dxa"/>
        <w:tblCellMar>
          <w:top w:w="0" w:type="dxa"/>
          <w:left w:w="0" w:type="dxa"/>
          <w:bottom w:w="0" w:type="dxa"/>
          <w:right w:w="0" w:type="dxa"/>
        </w:tblCellMar>
      </w:tblPr>
      <w:tr>
        <w:trPr>
          <w:trHeight w:val="1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9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   S</w:t>
            </w:r>
            <w:r>
              <w:rPr>
                <w:rFonts w:ascii="Times New Roman" w:cs="Times New Roman" w:eastAsia="Times New Roman" w:hAnsi="Times New Roman"/>
                <w:sz w:val="11"/>
                <w:szCs w:val="11"/>
                <w:color w:val="auto"/>
              </w:rPr>
              <w:t>KADDEN</w:t>
            </w:r>
            <w:r>
              <w:rPr>
                <w:rFonts w:ascii="Times New Roman" w:cs="Times New Roman" w:eastAsia="Times New Roman" w:hAnsi="Times New Roman"/>
                <w:sz w:val="14"/>
                <w:szCs w:val="14"/>
                <w:color w:val="auto"/>
              </w:rPr>
              <w:t>, A</w:t>
            </w:r>
            <w:r>
              <w:rPr>
                <w:rFonts w:ascii="Times New Roman" w:cs="Times New Roman" w:eastAsia="Times New Roman" w:hAnsi="Times New Roman"/>
                <w:sz w:val="11"/>
                <w:szCs w:val="11"/>
                <w:color w:val="auto"/>
              </w:rPr>
              <w:t>RPS</w:t>
            </w:r>
            <w:r>
              <w:rPr>
                <w:rFonts w:ascii="Times New Roman" w:cs="Times New Roman" w:eastAsia="Times New Roman" w:hAnsi="Times New Roman"/>
                <w:sz w:val="14"/>
                <w:szCs w:val="14"/>
                <w:color w:val="auto"/>
              </w:rPr>
              <w:t>, S</w:t>
            </w:r>
            <w:r>
              <w:rPr>
                <w:rFonts w:ascii="Times New Roman" w:cs="Times New Roman" w:eastAsia="Times New Roman" w:hAnsi="Times New Roman"/>
                <w:sz w:val="11"/>
                <w:szCs w:val="11"/>
                <w:color w:val="auto"/>
              </w:rPr>
              <w:t>LATE</w:t>
            </w:r>
            <w:r>
              <w:rPr>
                <w:rFonts w:ascii="Times New Roman" w:cs="Times New Roman" w:eastAsia="Times New Roman" w:hAnsi="Times New Roman"/>
                <w:sz w:val="14"/>
                <w:szCs w:val="14"/>
                <w:color w:val="auto"/>
              </w:rPr>
              <w:t>, M</w:t>
            </w:r>
            <w:r>
              <w:rPr>
                <w:rFonts w:ascii="Times New Roman" w:cs="Times New Roman" w:eastAsia="Times New Roman" w:hAnsi="Times New Roman"/>
                <w:sz w:val="11"/>
                <w:szCs w:val="11"/>
                <w:color w:val="auto"/>
              </w:rPr>
              <w:t>EAGHER</w:t>
            </w:r>
            <w:r>
              <w:rPr>
                <w:rFonts w:ascii="Times New Roman" w:cs="Times New Roman" w:eastAsia="Times New Roman" w:hAnsi="Times New Roman"/>
                <w:sz w:val="14"/>
                <w:szCs w:val="14"/>
                <w:color w:val="auto"/>
              </w:rPr>
              <w:t xml:space="preserve"> &amp; F</w:t>
            </w:r>
            <w:r>
              <w:rPr>
                <w:rFonts w:ascii="Times New Roman" w:cs="Times New Roman" w:eastAsia="Times New Roman" w:hAnsi="Times New Roman"/>
                <w:sz w:val="11"/>
                <w:szCs w:val="11"/>
                <w:color w:val="auto"/>
              </w:rPr>
              <w:t>LOM LLP</w:t>
            </w:r>
          </w:p>
        </w:tc>
      </w:tr>
      <w:tr>
        <w:trPr>
          <w:trHeight w:val="170"/>
        </w:trPr>
        <w:tc>
          <w:tcPr>
            <w:tcW w:w="680" w:type="dxa"/>
            <w:vAlign w:val="bottom"/>
          </w:tcPr>
          <w:p>
            <w:pPr>
              <w:ind w:left="60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6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234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color w:val="auto"/>
                <w:w w:val="99"/>
              </w:rPr>
              <w:t>ONE MANHATTAN WEST</w:t>
            </w:r>
          </w:p>
        </w:tc>
      </w:tr>
      <w:tr>
        <w:trPr>
          <w:trHeight w:val="184"/>
        </w:trPr>
        <w:tc>
          <w:tcPr>
            <w:tcW w:w="68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6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   NEW YORK, NY 10001</w:t>
            </w:r>
          </w:p>
        </w:tc>
      </w:tr>
      <w:tr>
        <w:trPr>
          <w:trHeight w:val="235"/>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6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color w:val="auto"/>
              </w:rPr>
              <w:t>TEL: (212) 735-3000</w:t>
            </w:r>
          </w:p>
        </w:tc>
      </w:tr>
      <w:tr>
        <w:trPr>
          <w:trHeight w:val="170"/>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0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FAX: (212) 735-2000</w:t>
            </w:r>
          </w:p>
        </w:tc>
      </w:tr>
      <w:tr>
        <w:trPr>
          <w:trHeight w:val="184"/>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20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www.skadden.com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4"/>
          <w:szCs w:val="14"/>
          <w:color w:val="auto"/>
        </w:rPr>
        <w:t>                              August 12, 2025</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NXP Semiconductors N.V.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High Tech Campus 60</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5656 AG Eindhoven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 Netherlands</w:t>
      </w:r>
    </w:p>
    <w:p>
      <w:pPr>
        <w:spacing w:after="0" w:line="187" w:lineRule="exact"/>
        <w:rPr>
          <w:sz w:val="20"/>
          <w:szCs w:val="20"/>
          <w:color w:val="auto"/>
        </w:rPr>
      </w:pPr>
    </w:p>
    <w:p>
      <w:pPr>
        <w:ind w:left="940"/>
        <w:spacing w:after="0"/>
        <w:tabs>
          <w:tab w:leader="none" w:pos="126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color w:val="auto"/>
        </w:rPr>
        <w:t>NXP Semiconductors N.V.</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auto"/>
        </w:rPr>
        <w:t>Registration Statement on Form S-3</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20" w:lineRule="exact"/>
        <w:rPr>
          <w:sz w:val="20"/>
          <w:szCs w:val="20"/>
          <w:color w:val="auto"/>
        </w:rPr>
      </w:pPr>
      <w:r>
        <w:rPr>
          <w:sz w:val="20"/>
          <w:szCs w:val="20"/>
          <w:color w:val="auto"/>
        </w:rPr>
        <w:br w:type="column"/>
      </w:r>
    </w:p>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0" w:lineRule="exact"/>
        <w:rPr>
          <w:sz w:val="20"/>
          <w:szCs w:val="20"/>
          <w:color w:val="auto"/>
        </w:rPr>
      </w:pPr>
    </w:p>
    <w:p>
      <w:pPr>
        <w:spacing w:after="0" w:line="28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1"/>
          <w:szCs w:val="11"/>
          <w:color w:val="auto"/>
        </w:rPr>
        <w:t>FIRM/AFFILIATE</w:t>
      </w:r>
    </w:p>
    <w:p>
      <w:pPr>
        <w:jc w:val="center"/>
        <w:ind w:right="519"/>
        <w:spacing w:after="0" w:line="226" w:lineRule="auto"/>
        <w:rPr>
          <w:sz w:val="20"/>
          <w:szCs w:val="20"/>
          <w:color w:val="auto"/>
        </w:rPr>
      </w:pPr>
      <w:r>
        <w:rPr>
          <w:rFonts w:ascii="Times New Roman" w:cs="Times New Roman" w:eastAsia="Times New Roman" w:hAnsi="Times New Roman"/>
          <w:sz w:val="11"/>
          <w:szCs w:val="11"/>
          <w:color w:val="auto"/>
        </w:rPr>
        <w:t>OFFICES</w:t>
      </w:r>
    </w:p>
    <w:p>
      <w:pPr>
        <w:jc w:val="center"/>
        <w:ind w:right="619"/>
        <w:spacing w:after="0"/>
        <w:rPr>
          <w:sz w:val="20"/>
          <w:szCs w:val="20"/>
          <w:color w:val="auto"/>
        </w:rPr>
      </w:pPr>
      <w:r>
        <w:rPr>
          <w:rFonts w:ascii="Times New Roman" w:cs="Times New Roman" w:eastAsia="Times New Roman" w:hAnsi="Times New Roman"/>
          <w:sz w:val="11"/>
          <w:szCs w:val="1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-8890</wp:posOffset>
            </wp:positionV>
            <wp:extent cx="36004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360045" cy="6985"/>
                    </a:xfrm>
                    <a:prstGeom prst="rect">
                      <a:avLst/>
                    </a:prstGeom>
                    <a:noFill/>
                  </pic:spPr>
                </pic:pic>
              </a:graphicData>
            </a:graphic>
          </wp:anchor>
        </w:drawing>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BOSTON</w:t>
      </w:r>
    </w:p>
    <w:p>
      <w:pPr>
        <w:ind w:left="260"/>
        <w:spacing w:after="0" w:line="226" w:lineRule="auto"/>
        <w:rPr>
          <w:sz w:val="20"/>
          <w:szCs w:val="20"/>
          <w:color w:val="auto"/>
        </w:rPr>
      </w:pPr>
      <w:r>
        <w:rPr>
          <w:rFonts w:ascii="Times New Roman" w:cs="Times New Roman" w:eastAsia="Times New Roman" w:hAnsi="Times New Roman"/>
          <w:sz w:val="11"/>
          <w:szCs w:val="11"/>
          <w:color w:val="auto"/>
        </w:rPr>
        <w:t>CHICAGO</w:t>
      </w:r>
    </w:p>
    <w:p>
      <w:pPr>
        <w:ind w:left="240"/>
        <w:spacing w:after="0" w:line="222" w:lineRule="auto"/>
        <w:rPr>
          <w:sz w:val="20"/>
          <w:szCs w:val="20"/>
          <w:color w:val="auto"/>
        </w:rPr>
      </w:pPr>
      <w:r>
        <w:rPr>
          <w:rFonts w:ascii="Times New Roman" w:cs="Times New Roman" w:eastAsia="Times New Roman" w:hAnsi="Times New Roman"/>
          <w:sz w:val="11"/>
          <w:szCs w:val="11"/>
          <w:color w:val="auto"/>
        </w:rPr>
        <w:t>HOUSTON</w:t>
      </w:r>
    </w:p>
    <w:p>
      <w:pPr>
        <w:ind w:left="140"/>
        <w:spacing w:after="0" w:line="222" w:lineRule="auto"/>
        <w:rPr>
          <w:sz w:val="20"/>
          <w:szCs w:val="20"/>
          <w:color w:val="auto"/>
        </w:rPr>
      </w:pPr>
      <w:r>
        <w:rPr>
          <w:rFonts w:ascii="Times New Roman" w:cs="Times New Roman" w:eastAsia="Times New Roman" w:hAnsi="Times New Roman"/>
          <w:sz w:val="11"/>
          <w:szCs w:val="11"/>
          <w:color w:val="auto"/>
        </w:rPr>
        <w:t>LOS ANGELES</w:t>
      </w:r>
    </w:p>
    <w:p>
      <w:pPr>
        <w:ind w:left="220"/>
        <w:spacing w:after="0" w:line="223" w:lineRule="auto"/>
        <w:rPr>
          <w:sz w:val="20"/>
          <w:szCs w:val="20"/>
          <w:color w:val="auto"/>
        </w:rPr>
      </w:pPr>
      <w:r>
        <w:rPr>
          <w:rFonts w:ascii="Times New Roman" w:cs="Times New Roman" w:eastAsia="Times New Roman" w:hAnsi="Times New Roman"/>
          <w:sz w:val="11"/>
          <w:szCs w:val="11"/>
          <w:color w:val="auto"/>
        </w:rPr>
        <w:t>PALO ALTO</w:t>
      </w:r>
    </w:p>
    <w:p>
      <w:pPr>
        <w:spacing w:after="0" w:line="222" w:lineRule="auto"/>
        <w:rPr>
          <w:sz w:val="20"/>
          <w:szCs w:val="20"/>
          <w:color w:val="auto"/>
        </w:rPr>
      </w:pPr>
      <w:r>
        <w:rPr>
          <w:rFonts w:ascii="Times New Roman" w:cs="Times New Roman" w:eastAsia="Times New Roman" w:hAnsi="Times New Roman"/>
          <w:sz w:val="11"/>
          <w:szCs w:val="11"/>
          <w:color w:val="auto"/>
        </w:rPr>
        <w:t>WASHINGTON, D.C.</w:t>
      </w:r>
    </w:p>
    <w:p>
      <w:pPr>
        <w:ind w:left="140"/>
        <w:spacing w:after="0" w:line="222" w:lineRule="auto"/>
        <w:rPr>
          <w:sz w:val="20"/>
          <w:szCs w:val="20"/>
          <w:color w:val="auto"/>
        </w:rPr>
      </w:pPr>
      <w:r>
        <w:rPr>
          <w:rFonts w:ascii="Times New Roman" w:cs="Times New Roman" w:eastAsia="Times New Roman" w:hAnsi="Times New Roman"/>
          <w:sz w:val="11"/>
          <w:szCs w:val="11"/>
          <w:color w:val="auto"/>
        </w:rPr>
        <w:t>WILMINGTON</w:t>
      </w:r>
    </w:p>
    <w:p>
      <w:pPr>
        <w:ind w:left="240"/>
        <w:spacing w:after="0"/>
        <w:rPr>
          <w:sz w:val="20"/>
          <w:szCs w:val="20"/>
          <w:color w:val="auto"/>
        </w:rPr>
      </w:pPr>
      <w:r>
        <w:rPr>
          <w:rFonts w:ascii="Times New Roman" w:cs="Times New Roman" w:eastAsia="Times New Roman" w:hAnsi="Times New Roman"/>
          <w:sz w:val="11"/>
          <w:szCs w:val="1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-8890</wp:posOffset>
            </wp:positionV>
            <wp:extent cx="36004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360045" cy="6985"/>
                    </a:xfrm>
                    <a:prstGeom prst="rect">
                      <a:avLst/>
                    </a:prstGeom>
                    <a:noFill/>
                  </pic:spPr>
                </pic:pic>
              </a:graphicData>
            </a:graphic>
          </wp:anchor>
        </w:drawing>
      </w:r>
    </w:p>
    <w:p>
      <w:pPr>
        <w:spacing w:after="0" w:line="5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1"/>
          <w:szCs w:val="11"/>
          <w:color w:val="auto"/>
        </w:rPr>
        <w:t>ABU DHABI</w:t>
      </w:r>
    </w:p>
    <w:p>
      <w:pPr>
        <w:jc w:val="center"/>
        <w:ind w:right="519"/>
        <w:spacing w:after="0" w:line="226" w:lineRule="auto"/>
        <w:rPr>
          <w:sz w:val="20"/>
          <w:szCs w:val="20"/>
          <w:color w:val="auto"/>
        </w:rPr>
      </w:pPr>
      <w:r>
        <w:rPr>
          <w:rFonts w:ascii="Times New Roman" w:cs="Times New Roman" w:eastAsia="Times New Roman" w:hAnsi="Times New Roman"/>
          <w:sz w:val="11"/>
          <w:szCs w:val="11"/>
          <w:color w:val="auto"/>
        </w:rPr>
        <w:t>BEIJING</w:t>
      </w:r>
    </w:p>
    <w:p>
      <w:pPr>
        <w:jc w:val="center"/>
        <w:ind w:right="519"/>
        <w:spacing w:after="0" w:line="222" w:lineRule="auto"/>
        <w:rPr>
          <w:sz w:val="20"/>
          <w:szCs w:val="20"/>
          <w:color w:val="auto"/>
        </w:rPr>
      </w:pPr>
      <w:r>
        <w:rPr>
          <w:rFonts w:ascii="Times New Roman" w:cs="Times New Roman" w:eastAsia="Times New Roman" w:hAnsi="Times New Roman"/>
          <w:sz w:val="11"/>
          <w:szCs w:val="11"/>
          <w:color w:val="auto"/>
        </w:rPr>
        <w:t>BRUSSELS</w:t>
      </w:r>
    </w:p>
    <w:p>
      <w:pPr>
        <w:jc w:val="center"/>
        <w:ind w:right="519"/>
        <w:spacing w:after="0" w:line="222" w:lineRule="auto"/>
        <w:rPr>
          <w:sz w:val="20"/>
          <w:szCs w:val="20"/>
          <w:color w:val="auto"/>
        </w:rPr>
      </w:pPr>
      <w:r>
        <w:rPr>
          <w:rFonts w:ascii="Times New Roman" w:cs="Times New Roman" w:eastAsia="Times New Roman" w:hAnsi="Times New Roman"/>
          <w:sz w:val="11"/>
          <w:szCs w:val="11"/>
          <w:color w:val="auto"/>
        </w:rPr>
        <w:t>FRANKFURT</w:t>
      </w:r>
    </w:p>
    <w:p>
      <w:pPr>
        <w:jc w:val="center"/>
        <w:ind w:right="519"/>
        <w:spacing w:after="0" w:line="223" w:lineRule="auto"/>
        <w:rPr>
          <w:sz w:val="20"/>
          <w:szCs w:val="20"/>
          <w:color w:val="auto"/>
        </w:rPr>
      </w:pPr>
      <w:r>
        <w:rPr>
          <w:rFonts w:ascii="Times New Roman" w:cs="Times New Roman" w:eastAsia="Times New Roman" w:hAnsi="Times New Roman"/>
          <w:sz w:val="11"/>
          <w:szCs w:val="11"/>
          <w:color w:val="auto"/>
        </w:rPr>
        <w:t>HONG KONG</w:t>
      </w:r>
    </w:p>
    <w:p>
      <w:pPr>
        <w:jc w:val="center"/>
        <w:ind w:right="519"/>
        <w:spacing w:after="0" w:line="222" w:lineRule="auto"/>
        <w:rPr>
          <w:sz w:val="20"/>
          <w:szCs w:val="20"/>
          <w:color w:val="auto"/>
        </w:rPr>
      </w:pPr>
      <w:r>
        <w:rPr>
          <w:rFonts w:ascii="Times New Roman" w:cs="Times New Roman" w:eastAsia="Times New Roman" w:hAnsi="Times New Roman"/>
          <w:sz w:val="11"/>
          <w:szCs w:val="11"/>
          <w:color w:val="auto"/>
        </w:rPr>
        <w:t>LONDON</w:t>
      </w:r>
    </w:p>
    <w:p>
      <w:pPr>
        <w:jc w:val="center"/>
        <w:ind w:right="519"/>
        <w:spacing w:after="0" w:line="222" w:lineRule="auto"/>
        <w:rPr>
          <w:sz w:val="20"/>
          <w:szCs w:val="20"/>
          <w:color w:val="auto"/>
        </w:rPr>
      </w:pPr>
      <w:r>
        <w:rPr>
          <w:rFonts w:ascii="Times New Roman" w:cs="Times New Roman" w:eastAsia="Times New Roman" w:hAnsi="Times New Roman"/>
          <w:sz w:val="11"/>
          <w:szCs w:val="11"/>
          <w:color w:val="auto"/>
        </w:rPr>
        <w:t>MUNICH</w:t>
      </w:r>
    </w:p>
    <w:p>
      <w:pPr>
        <w:jc w:val="center"/>
        <w:ind w:right="519"/>
        <w:spacing w:after="0" w:line="222" w:lineRule="auto"/>
        <w:rPr>
          <w:sz w:val="20"/>
          <w:szCs w:val="20"/>
          <w:color w:val="auto"/>
        </w:rPr>
      </w:pPr>
      <w:r>
        <w:rPr>
          <w:rFonts w:ascii="Times New Roman" w:cs="Times New Roman" w:eastAsia="Times New Roman" w:hAnsi="Times New Roman"/>
          <w:sz w:val="11"/>
          <w:szCs w:val="11"/>
          <w:color w:val="auto"/>
        </w:rPr>
        <w:t>PARIS</w:t>
      </w:r>
    </w:p>
    <w:p>
      <w:pPr>
        <w:jc w:val="center"/>
        <w:ind w:right="519"/>
        <w:spacing w:after="0" w:line="222" w:lineRule="auto"/>
        <w:rPr>
          <w:sz w:val="20"/>
          <w:szCs w:val="20"/>
          <w:color w:val="auto"/>
        </w:rPr>
      </w:pPr>
      <w:r>
        <w:rPr>
          <w:rFonts w:ascii="Times New Roman" w:cs="Times New Roman" w:eastAsia="Times New Roman" w:hAnsi="Times New Roman"/>
          <w:sz w:val="11"/>
          <w:szCs w:val="11"/>
          <w:color w:val="auto"/>
        </w:rPr>
        <w:t>SÃO PAULO</w:t>
      </w:r>
    </w:p>
    <w:p>
      <w:pPr>
        <w:jc w:val="center"/>
        <w:ind w:right="519"/>
        <w:spacing w:after="0" w:line="222" w:lineRule="auto"/>
        <w:rPr>
          <w:sz w:val="20"/>
          <w:szCs w:val="20"/>
          <w:color w:val="auto"/>
        </w:rPr>
      </w:pPr>
      <w:r>
        <w:rPr>
          <w:rFonts w:ascii="Times New Roman" w:cs="Times New Roman" w:eastAsia="Times New Roman" w:hAnsi="Times New Roman"/>
          <w:sz w:val="11"/>
          <w:szCs w:val="11"/>
          <w:color w:val="auto"/>
        </w:rPr>
        <w:t>SEOUL</w:t>
      </w:r>
    </w:p>
    <w:p>
      <w:pPr>
        <w:jc w:val="center"/>
        <w:ind w:right="519"/>
        <w:spacing w:after="0" w:line="222" w:lineRule="auto"/>
        <w:rPr>
          <w:sz w:val="20"/>
          <w:szCs w:val="20"/>
          <w:color w:val="auto"/>
        </w:rPr>
      </w:pPr>
      <w:r>
        <w:rPr>
          <w:rFonts w:ascii="Times New Roman" w:cs="Times New Roman" w:eastAsia="Times New Roman" w:hAnsi="Times New Roman"/>
          <w:sz w:val="11"/>
          <w:szCs w:val="11"/>
          <w:color w:val="auto"/>
        </w:rPr>
        <w:t>SINGAPORE</w:t>
      </w:r>
    </w:p>
    <w:p>
      <w:pPr>
        <w:jc w:val="center"/>
        <w:ind w:right="519"/>
        <w:spacing w:after="0" w:line="222" w:lineRule="auto"/>
        <w:rPr>
          <w:sz w:val="20"/>
          <w:szCs w:val="20"/>
          <w:color w:val="auto"/>
        </w:rPr>
      </w:pPr>
      <w:r>
        <w:rPr>
          <w:rFonts w:ascii="Times New Roman" w:cs="Times New Roman" w:eastAsia="Times New Roman" w:hAnsi="Times New Roman"/>
          <w:sz w:val="11"/>
          <w:szCs w:val="11"/>
          <w:color w:val="auto"/>
        </w:rPr>
        <w:t>TOKYO</w:t>
      </w:r>
    </w:p>
    <w:p>
      <w:pPr>
        <w:jc w:val="center"/>
        <w:ind w:right="519"/>
        <w:spacing w:after="0"/>
        <w:rPr>
          <w:sz w:val="20"/>
          <w:szCs w:val="20"/>
          <w:color w:val="auto"/>
        </w:rPr>
      </w:pPr>
      <w:r>
        <w:rPr>
          <w:rFonts w:ascii="Times New Roman" w:cs="Times New Roman" w:eastAsia="Times New Roman" w:hAnsi="Times New Roman"/>
          <w:sz w:val="11"/>
          <w:szCs w:val="11"/>
          <w:color w:val="auto"/>
        </w:rPr>
        <w:t>TORONTO</w:t>
      </w:r>
    </w:p>
    <w:p>
      <w:pPr>
        <w:spacing w:after="0" w:line="2172" w:lineRule="exact"/>
        <w:rPr>
          <w:sz w:val="20"/>
          <w:szCs w:val="20"/>
          <w:color w:val="auto"/>
        </w:rPr>
      </w:pPr>
    </w:p>
    <w:p>
      <w:pPr>
        <w:sectPr>
          <w:pgSz w:w="11900" w:h="16838" w:orient="portrait"/>
          <w:cols w:equalWidth="0" w:num="2">
            <w:col w:w="6740" w:space="720"/>
            <w:col w:w="1559"/>
          </w:cols>
          <w:pgMar w:left="1440" w:top="123" w:right="1440" w:bottom="1440" w:gutter="0" w:footer="0" w:header="0"/>
        </w:sectPr>
      </w:pPr>
    </w:p>
    <w:p>
      <w:pPr>
        <w:ind w:left="160" w:right="179" w:firstLine="347"/>
        <w:spacing w:after="0" w:line="257" w:lineRule="auto"/>
        <w:rPr>
          <w:sz w:val="20"/>
          <w:szCs w:val="20"/>
          <w:color w:val="auto"/>
        </w:rPr>
      </w:pPr>
      <w:r>
        <w:rPr>
          <w:rFonts w:ascii="Times New Roman" w:cs="Times New Roman" w:eastAsia="Times New Roman" w:hAnsi="Times New Roman"/>
          <w:sz w:val="14"/>
          <w:szCs w:val="14"/>
          <w:color w:val="auto"/>
        </w:rPr>
        <w:t>We have acted as special United States counsel to NXP Semiconductors N.V., a public company with limited liability organized under the laws of The Netherlands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Our Client</w:t>
      </w:r>
      <w:r>
        <w:rPr>
          <w:rFonts w:ascii="Times New Roman" w:cs="Times New Roman" w:eastAsia="Times New Roman" w:hAnsi="Times New Roman"/>
          <w:sz w:val="14"/>
          <w:szCs w:val="14"/>
          <w:color w:val="auto"/>
        </w:rPr>
        <w:t>”), in connection with the registration statement on Form S-3 (the “Registration Statement”) to be filed on the date hereof by the Parent, NXP B.V., a private company with limited liability organized under the laws of The Netherlands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NXP Funding LLC, a Delaware limited liability company (“</w:t>
      </w:r>
      <w:r>
        <w:rPr>
          <w:rFonts w:ascii="Times New Roman" w:cs="Times New Roman" w:eastAsia="Times New Roman" w:hAnsi="Times New Roman"/>
          <w:sz w:val="14"/>
          <w:szCs w:val="14"/>
          <w:u w:val="single" w:color="auto"/>
          <w:color w:val="auto"/>
        </w:rPr>
        <w:t>NXP Funding</w:t>
      </w:r>
      <w:r>
        <w:rPr>
          <w:rFonts w:ascii="Times New Roman" w:cs="Times New Roman" w:eastAsia="Times New Roman" w:hAnsi="Times New Roman"/>
          <w:sz w:val="14"/>
          <w:szCs w:val="14"/>
          <w:color w:val="auto"/>
        </w:rPr>
        <w:t>”), and NXP USA, Inc., a Delaware corporation (“</w:t>
      </w:r>
      <w:r>
        <w:rPr>
          <w:rFonts w:ascii="Times New Roman" w:cs="Times New Roman" w:eastAsia="Times New Roman" w:hAnsi="Times New Roman"/>
          <w:sz w:val="14"/>
          <w:szCs w:val="14"/>
          <w:u w:val="single" w:color="auto"/>
          <w:color w:val="auto"/>
        </w:rPr>
        <w:t>NXP USA</w:t>
      </w:r>
      <w:r>
        <w:rPr>
          <w:rFonts w:ascii="Times New Roman" w:cs="Times New Roman" w:eastAsia="Times New Roman" w:hAnsi="Times New Roman"/>
          <w:sz w:val="14"/>
          <w:szCs w:val="14"/>
          <w:color w:val="auto"/>
        </w:rPr>
        <w:t>” and, together with the Company and NXP Funding, the “</w:t>
      </w:r>
      <w:r>
        <w:rPr>
          <w:rFonts w:ascii="Times New Roman" w:cs="Times New Roman" w:eastAsia="Times New Roman" w:hAnsi="Times New Roman"/>
          <w:sz w:val="14"/>
          <w:szCs w:val="14"/>
          <w:u w:val="single" w:color="auto"/>
          <w:color w:val="auto"/>
        </w:rPr>
        <w:t>Issuers</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under the Securities Act of 1933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The Registration Statement relates to the issuance and sale by the Issuers from time to time, pursuant to Rule 415 of the General Rules and Regulations of the Commission promulgated under the Securities Act (the “</w:t>
      </w:r>
      <w:r>
        <w:rPr>
          <w:rFonts w:ascii="Times New Roman" w:cs="Times New Roman" w:eastAsia="Times New Roman" w:hAnsi="Times New Roman"/>
          <w:sz w:val="14"/>
          <w:szCs w:val="14"/>
          <w:u w:val="single" w:color="auto"/>
          <w:color w:val="auto"/>
        </w:rPr>
        <w:t>Rules and Regulations</w:t>
      </w:r>
      <w:r>
        <w:rPr>
          <w:rFonts w:ascii="Times New Roman" w:cs="Times New Roman" w:eastAsia="Times New Roman" w:hAnsi="Times New Roman"/>
          <w:sz w:val="14"/>
          <w:szCs w:val="14"/>
          <w:color w:val="auto"/>
        </w:rPr>
        <w:t>”), of (i) senior unsecured debt securities of the Issuers (“</w:t>
      </w:r>
      <w:r>
        <w:rPr>
          <w:rFonts w:ascii="Times New Roman" w:cs="Times New Roman" w:eastAsia="Times New Roman" w:hAnsi="Times New Roman"/>
          <w:sz w:val="14"/>
          <w:szCs w:val="14"/>
          <w:u w:val="single" w:color="auto"/>
          <w:color w:val="auto"/>
        </w:rPr>
        <w:t>Debt Securities</w:t>
      </w:r>
      <w:r>
        <w:rPr>
          <w:rFonts w:ascii="Times New Roman" w:cs="Times New Roman" w:eastAsia="Times New Roman" w:hAnsi="Times New Roman"/>
          <w:sz w:val="14"/>
          <w:szCs w:val="14"/>
          <w:color w:val="auto"/>
        </w:rPr>
        <w:t>”), which may be issued in one or more series under an indenture, dated May 16, 2022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among the Issuers, the Guarantor (as defined below) and Deutsche Bank Trust Company Americas, as trustee, which is filed as an exhibit to the Registration Statement, and (ii) such indeterminate amount of Debt Securities as may be</w:t>
      </w:r>
    </w:p>
    <w:p>
      <w:pPr>
        <w:sectPr>
          <w:pgSz w:w="11900" w:h="16838" w:orient="portrait"/>
          <w:cols w:equalWidth="0" w:num="1">
            <w:col w:w="9019"/>
          </w:cols>
          <w:pgMar w:left="1440" w:top="123" w:right="1440" w:bottom="1440" w:gutter="0" w:footer="0" w:header="0"/>
          <w:type w:val="continuous"/>
        </w:sectPr>
      </w:pPr>
    </w:p>
    <w:bookmarkStart w:id="28" w:name="page29"/>
    <w:bookmarkEnd w:id="28"/>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NXP Semiconductors N.V.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August 12, 2025</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2</w:t>
      </w:r>
    </w:p>
    <w:p>
      <w:pPr>
        <w:spacing w:after="0" w:line="112" w:lineRule="exact"/>
        <w:rPr>
          <w:sz w:val="20"/>
          <w:szCs w:val="20"/>
          <w:color w:val="auto"/>
        </w:rPr>
      </w:pPr>
    </w:p>
    <w:p>
      <w:pPr>
        <w:ind w:left="160" w:right="219"/>
        <w:spacing w:after="0" w:line="265" w:lineRule="auto"/>
        <w:rPr>
          <w:sz w:val="20"/>
          <w:szCs w:val="20"/>
          <w:color w:val="auto"/>
        </w:rPr>
      </w:pPr>
      <w:r>
        <w:rPr>
          <w:rFonts w:ascii="Times New Roman" w:cs="Times New Roman" w:eastAsia="Times New Roman" w:hAnsi="Times New Roman"/>
          <w:sz w:val="14"/>
          <w:szCs w:val="14"/>
          <w:color w:val="auto"/>
        </w:rPr>
        <w:t>issued upon conversion, exchange or exercise, as applicable, of any Debt Securities (collectively, “</w:t>
      </w:r>
      <w:r>
        <w:rPr>
          <w:rFonts w:ascii="Times New Roman" w:cs="Times New Roman" w:eastAsia="Times New Roman" w:hAnsi="Times New Roman"/>
          <w:sz w:val="14"/>
          <w:szCs w:val="14"/>
          <w:u w:val="single" w:color="auto"/>
          <w:color w:val="auto"/>
        </w:rPr>
        <w:t>Indeterminate Securities</w:t>
      </w:r>
      <w:r>
        <w:rPr>
          <w:rFonts w:ascii="Times New Roman" w:cs="Times New Roman" w:eastAsia="Times New Roman" w:hAnsi="Times New Roman"/>
          <w:sz w:val="14"/>
          <w:szCs w:val="14"/>
          <w:color w:val="auto"/>
        </w:rPr>
        <w:t>”). The Registration Statement also relates to the issuance and sale from time to time by the Parent (in such capacity, the “</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of guarantees of the Debt Securities (“</w:t>
      </w:r>
      <w:r>
        <w:rPr>
          <w:rFonts w:ascii="Times New Roman" w:cs="Times New Roman" w:eastAsia="Times New Roman" w:hAnsi="Times New Roman"/>
          <w:sz w:val="14"/>
          <w:szCs w:val="14"/>
          <w:u w:val="single" w:color="auto"/>
          <w:color w:val="auto"/>
        </w:rPr>
        <w:t>Guarantees</w:t>
      </w:r>
      <w:r>
        <w:rPr>
          <w:rFonts w:ascii="Times New Roman" w:cs="Times New Roman" w:eastAsia="Times New Roman" w:hAnsi="Times New Roman"/>
          <w:sz w:val="14"/>
          <w:szCs w:val="14"/>
          <w:color w:val="auto"/>
        </w:rPr>
        <w:t>”). The Debt Securities, Indeterminate Securities, and Guarantees offered pursuant to the Registration Statement are collectively referred to herein as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opinion letter is being furnished in accordance with the requirements of Item 601(b)(5) of Regulation S-K under the Securities Act.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rendering the opinions stated herein, we have examined and relied upon the following:</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the Registration Statement;</w:t>
      </w:r>
    </w:p>
    <w:p>
      <w:pPr>
        <w:spacing w:after="0" w:line="179" w:lineRule="exact"/>
        <w:rPr>
          <w:sz w:val="20"/>
          <w:szCs w:val="20"/>
          <w:color w:val="auto"/>
        </w:rPr>
      </w:pPr>
    </w:p>
    <w:p>
      <w:pPr>
        <w:ind w:left="160" w:right="399" w:firstLine="347"/>
        <w:spacing w:after="0" w:line="288" w:lineRule="auto"/>
        <w:rPr>
          <w:sz w:val="20"/>
          <w:szCs w:val="20"/>
          <w:color w:val="auto"/>
        </w:rPr>
      </w:pPr>
      <w:r>
        <w:rPr>
          <w:rFonts w:ascii="Times New Roman" w:cs="Times New Roman" w:eastAsia="Times New Roman" w:hAnsi="Times New Roman"/>
          <w:sz w:val="14"/>
          <w:szCs w:val="14"/>
          <w:color w:val="auto"/>
        </w:rPr>
        <w:t>(b)  an executed copy of the Indenture filed as an exhibit to the Registration Statement, including Article XVI thereof containing the guaranty obligations of the Guarantors (the “</w:t>
      </w:r>
      <w:r>
        <w:rPr>
          <w:rFonts w:ascii="Times New Roman" w:cs="Times New Roman" w:eastAsia="Times New Roman" w:hAnsi="Times New Roman"/>
          <w:sz w:val="14"/>
          <w:szCs w:val="14"/>
          <w:u w:val="single" w:color="auto"/>
          <w:color w:val="auto"/>
        </w:rPr>
        <w:t>Guarantees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   a copy of NXP Funding’s Certificate of Formation, certified by the Secretary of State of the State of Delaware as of May 5, 2022 and</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July 30, 2025, and certified pursuant to NXP Funding’s 2022 Secretary’s Certificate (as defined below) and NXP Funding’s Secretary’s Certificate (as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defined below), respectively;</w:t>
      </w:r>
    </w:p>
    <w:p>
      <w:pPr>
        <w:spacing w:after="0" w:line="165" w:lineRule="exact"/>
        <w:rPr>
          <w:sz w:val="20"/>
          <w:szCs w:val="20"/>
          <w:color w:val="auto"/>
        </w:rPr>
      </w:pPr>
    </w:p>
    <w:p>
      <w:pPr>
        <w:ind w:left="160" w:right="179" w:firstLine="347"/>
        <w:spacing w:after="0" w:line="271" w:lineRule="auto"/>
        <w:rPr>
          <w:sz w:val="20"/>
          <w:szCs w:val="20"/>
          <w:color w:val="auto"/>
        </w:rPr>
      </w:pPr>
      <w:r>
        <w:rPr>
          <w:rFonts w:ascii="Times New Roman" w:cs="Times New Roman" w:eastAsia="Times New Roman" w:hAnsi="Times New Roman"/>
          <w:sz w:val="14"/>
          <w:szCs w:val="14"/>
          <w:color w:val="auto"/>
        </w:rPr>
        <w:t>(d)  a copy of NXP USA’s Certificate of Incorporation, certified by the Secretary of State of the State of Delaware as of May 5, 2022 and July 30, 2025, and certified pursuant to NXP USA’s 2022 Secretary’s Certificate (as defined below) and NXP USA’s Secretary’s Certificate (as defined below), respectively;</w:t>
      </w:r>
    </w:p>
    <w:p>
      <w:pPr>
        <w:spacing w:after="0" w:line="136" w:lineRule="exact"/>
        <w:rPr>
          <w:sz w:val="20"/>
          <w:szCs w:val="20"/>
          <w:color w:val="auto"/>
        </w:rPr>
      </w:pPr>
    </w:p>
    <w:p>
      <w:pPr>
        <w:jc w:val="both"/>
        <w:ind w:left="160" w:right="219" w:firstLine="347"/>
        <w:spacing w:after="0" w:line="271" w:lineRule="auto"/>
        <w:rPr>
          <w:sz w:val="20"/>
          <w:szCs w:val="20"/>
          <w:color w:val="auto"/>
        </w:rPr>
      </w:pPr>
      <w:r>
        <w:rPr>
          <w:rFonts w:ascii="Times New Roman" w:cs="Times New Roman" w:eastAsia="Times New Roman" w:hAnsi="Times New Roman"/>
          <w:sz w:val="14"/>
          <w:szCs w:val="14"/>
          <w:color w:val="auto"/>
        </w:rPr>
        <w:t>(e)  a copy of NXP Funding’s Limited Liability Company Agreement (the “</w:t>
      </w:r>
      <w:r>
        <w:rPr>
          <w:rFonts w:ascii="Times New Roman" w:cs="Times New Roman" w:eastAsia="Times New Roman" w:hAnsi="Times New Roman"/>
          <w:sz w:val="14"/>
          <w:szCs w:val="14"/>
          <w:u w:val="single" w:color="auto"/>
          <w:color w:val="auto"/>
        </w:rPr>
        <w:t>LLC Agreement</w:t>
      </w:r>
      <w:r>
        <w:rPr>
          <w:rFonts w:ascii="Times New Roman" w:cs="Times New Roman" w:eastAsia="Times New Roman" w:hAnsi="Times New Roman"/>
          <w:sz w:val="14"/>
          <w:szCs w:val="14"/>
          <w:color w:val="auto"/>
        </w:rPr>
        <w:t>”), dated as of September 22, 2006, by the Company (formerly known as Philips Semiconductors International B.V.), as sole member of NXP Funding, certified pursuant to NXP Funding’s 2022 Secretary’s Certificate and NXP Funding’s Secretary’s Certificate;</w:t>
      </w:r>
    </w:p>
    <w:p>
      <w:pPr>
        <w:spacing w:after="0" w:line="136" w:lineRule="exact"/>
        <w:rPr>
          <w:sz w:val="20"/>
          <w:szCs w:val="20"/>
          <w:color w:val="auto"/>
        </w:rPr>
      </w:pPr>
    </w:p>
    <w:p>
      <w:pPr>
        <w:ind w:left="160" w:right="559" w:firstLine="347"/>
        <w:spacing w:after="0" w:line="288" w:lineRule="auto"/>
        <w:rPr>
          <w:sz w:val="20"/>
          <w:szCs w:val="20"/>
          <w:color w:val="auto"/>
        </w:rPr>
      </w:pPr>
      <w:r>
        <w:rPr>
          <w:rFonts w:ascii="Times New Roman" w:cs="Times New Roman" w:eastAsia="Times New Roman" w:hAnsi="Times New Roman"/>
          <w:sz w:val="14"/>
          <w:szCs w:val="14"/>
          <w:color w:val="auto"/>
        </w:rPr>
        <w:t>(f)  a copy of NXP USA’s By-laws, as amended and in effect as of May 5, 2022 and the date hereof, certified pursuant to NXP USA’s 2022 Secretary’s Certificate and NXP USA’s Secretary’s Certificate, respectively;</w:t>
      </w:r>
    </w:p>
    <w:p>
      <w:pPr>
        <w:spacing w:after="0" w:line="124" w:lineRule="exact"/>
        <w:rPr>
          <w:sz w:val="20"/>
          <w:szCs w:val="20"/>
          <w:color w:val="auto"/>
        </w:rPr>
      </w:pPr>
    </w:p>
    <w:p>
      <w:pPr>
        <w:ind w:left="160" w:right="479" w:firstLine="347"/>
        <w:spacing w:after="0" w:line="288" w:lineRule="auto"/>
        <w:rPr>
          <w:sz w:val="20"/>
          <w:szCs w:val="20"/>
          <w:color w:val="auto"/>
        </w:rPr>
      </w:pPr>
      <w:r>
        <w:rPr>
          <w:rFonts w:ascii="Times New Roman" w:cs="Times New Roman" w:eastAsia="Times New Roman" w:hAnsi="Times New Roman"/>
          <w:sz w:val="14"/>
          <w:szCs w:val="14"/>
          <w:color w:val="auto"/>
        </w:rPr>
        <w:t>(g)  a copy of the consent of the sole member of NXP Funding, adopted on August 7, 2025, certified pursuant to NXP Funding’s Secretary’s Certificate;</w:t>
      </w:r>
    </w:p>
    <w:p>
      <w:pPr>
        <w:spacing w:after="0" w:line="124" w:lineRule="exact"/>
        <w:rPr>
          <w:sz w:val="20"/>
          <w:szCs w:val="20"/>
          <w:color w:val="auto"/>
        </w:rPr>
      </w:pPr>
    </w:p>
    <w:p>
      <w:pPr>
        <w:ind w:left="160" w:right="319" w:firstLine="347"/>
        <w:spacing w:after="0" w:line="288" w:lineRule="auto"/>
        <w:rPr>
          <w:sz w:val="20"/>
          <w:szCs w:val="20"/>
          <w:color w:val="auto"/>
        </w:rPr>
      </w:pPr>
      <w:r>
        <w:rPr>
          <w:rFonts w:ascii="Times New Roman" w:cs="Times New Roman" w:eastAsia="Times New Roman" w:hAnsi="Times New Roman"/>
          <w:sz w:val="14"/>
          <w:szCs w:val="14"/>
          <w:color w:val="auto"/>
        </w:rPr>
        <w:t>(h)  a copy of the consent of the sole member of NXP Funding, adopted on May 5, 2022, certified pursuant to NXP Funding’s 2022 Secretary’s Certificate;</w:t>
      </w:r>
    </w:p>
    <w:p>
      <w:pPr>
        <w:spacing w:after="0" w:line="124" w:lineRule="exact"/>
        <w:rPr>
          <w:sz w:val="20"/>
          <w:szCs w:val="20"/>
          <w:color w:val="auto"/>
        </w:rPr>
      </w:pPr>
    </w:p>
    <w:p>
      <w:pPr>
        <w:ind w:left="160" w:right="419" w:firstLine="347"/>
        <w:spacing w:after="0" w:line="288" w:lineRule="auto"/>
        <w:rPr>
          <w:sz w:val="20"/>
          <w:szCs w:val="20"/>
          <w:color w:val="auto"/>
        </w:rPr>
      </w:pPr>
      <w:r>
        <w:rPr>
          <w:rFonts w:ascii="Times New Roman" w:cs="Times New Roman" w:eastAsia="Times New Roman" w:hAnsi="Times New Roman"/>
          <w:sz w:val="14"/>
          <w:szCs w:val="14"/>
          <w:color w:val="auto"/>
        </w:rPr>
        <w:t>(i)  a copy of the unanimous written resolution of the Board of Directors of NXP USA, adopted on August 7, 2025, certified pursuant to NXP USA’s Secretary’s Certificate;</w:t>
      </w:r>
    </w:p>
    <w:p>
      <w:pPr>
        <w:sectPr>
          <w:pgSz w:w="11900" w:h="16838" w:orient="portrait"/>
          <w:cols w:equalWidth="0" w:num="1">
            <w:col w:w="9019"/>
          </w:cols>
          <w:pgMar w:left="1440" w:top="242" w:right="1440" w:bottom="1440" w:gutter="0" w:footer="0" w:header="0"/>
        </w:sectPr>
      </w:pPr>
    </w:p>
    <w:bookmarkStart w:id="29" w:name="page30"/>
    <w:bookmarkEnd w:id="29"/>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NXP Semiconductors N.V.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August 12, 2025</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3</w:t>
      </w:r>
    </w:p>
    <w:p>
      <w:pPr>
        <w:spacing w:after="0" w:line="112" w:lineRule="exact"/>
        <w:rPr>
          <w:sz w:val="20"/>
          <w:szCs w:val="20"/>
          <w:color w:val="auto"/>
        </w:rPr>
      </w:pPr>
    </w:p>
    <w:p>
      <w:pPr>
        <w:ind w:left="160" w:right="559" w:firstLine="347"/>
        <w:spacing w:after="0" w:line="288" w:lineRule="auto"/>
        <w:rPr>
          <w:sz w:val="20"/>
          <w:szCs w:val="20"/>
          <w:color w:val="auto"/>
        </w:rPr>
      </w:pPr>
      <w:r>
        <w:rPr>
          <w:rFonts w:ascii="Times New Roman" w:cs="Times New Roman" w:eastAsia="Times New Roman" w:hAnsi="Times New Roman"/>
          <w:sz w:val="14"/>
          <w:szCs w:val="14"/>
          <w:color w:val="auto"/>
        </w:rPr>
        <w:t>(j)  a copy of the unanimous written resolution of the Board of Directors of NXP USA, adopted on May 5, 2022, certified pursuant to NXP USA’s 2022 Secretary’s Certificate;</w:t>
      </w:r>
    </w:p>
    <w:p>
      <w:pPr>
        <w:spacing w:after="0" w:line="124" w:lineRule="exact"/>
        <w:rPr>
          <w:sz w:val="20"/>
          <w:szCs w:val="20"/>
          <w:color w:val="auto"/>
        </w:rPr>
      </w:pPr>
    </w:p>
    <w:p>
      <w:pPr>
        <w:ind w:left="160" w:right="739" w:firstLine="347"/>
        <w:spacing w:after="0" w:line="288" w:lineRule="auto"/>
        <w:rPr>
          <w:sz w:val="20"/>
          <w:szCs w:val="20"/>
          <w:color w:val="auto"/>
        </w:rPr>
      </w:pPr>
      <w:r>
        <w:rPr>
          <w:rFonts w:ascii="Times New Roman" w:cs="Times New Roman" w:eastAsia="Times New Roman" w:hAnsi="Times New Roman"/>
          <w:sz w:val="14"/>
          <w:szCs w:val="14"/>
          <w:color w:val="auto"/>
        </w:rPr>
        <w:t>(k)  an executed copy of a certificate of Luc de Dobbeleer, Authorized Officer of NXP Funding, dated the date hereof (“</w:t>
      </w:r>
      <w:r>
        <w:rPr>
          <w:rFonts w:ascii="Times New Roman" w:cs="Times New Roman" w:eastAsia="Times New Roman" w:hAnsi="Times New Roman"/>
          <w:sz w:val="14"/>
          <w:szCs w:val="14"/>
          <w:u w:val="single" w:color="auto"/>
          <w:color w:val="auto"/>
        </w:rPr>
        <w:t>NXP Funding’s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Secretary’s Certificate</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60" w:right="519" w:firstLine="347"/>
        <w:spacing w:after="0" w:line="288" w:lineRule="auto"/>
        <w:rPr>
          <w:sz w:val="20"/>
          <w:szCs w:val="20"/>
          <w:color w:val="auto"/>
        </w:rPr>
      </w:pPr>
      <w:r>
        <w:rPr>
          <w:rFonts w:ascii="Times New Roman" w:cs="Times New Roman" w:eastAsia="Times New Roman" w:hAnsi="Times New Roman"/>
          <w:sz w:val="14"/>
          <w:szCs w:val="14"/>
          <w:color w:val="auto"/>
        </w:rPr>
        <w:t>(l)  an executed copy of a certificate of Luc de Dobbeleer, Authorized Officer of NXP Funding, dated May 16, 2022 (“</w:t>
      </w:r>
      <w:r>
        <w:rPr>
          <w:rFonts w:ascii="Times New Roman" w:cs="Times New Roman" w:eastAsia="Times New Roman" w:hAnsi="Times New Roman"/>
          <w:sz w:val="14"/>
          <w:szCs w:val="14"/>
          <w:u w:val="single" w:color="auto"/>
          <w:color w:val="auto"/>
        </w:rPr>
        <w:t>NXP Funding’s 2022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Secretary’s Certificate</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60" w:right="319" w:firstLine="347"/>
        <w:spacing w:after="0" w:line="288" w:lineRule="auto"/>
        <w:rPr>
          <w:sz w:val="20"/>
          <w:szCs w:val="20"/>
          <w:color w:val="auto"/>
        </w:rPr>
      </w:pPr>
      <w:r>
        <w:rPr>
          <w:rFonts w:ascii="Times New Roman" w:cs="Times New Roman" w:eastAsia="Times New Roman" w:hAnsi="Times New Roman"/>
          <w:sz w:val="14"/>
          <w:szCs w:val="14"/>
          <w:color w:val="auto"/>
        </w:rPr>
        <w:t>(m)  an executed copy of a certificate of Timothy Shelhamer, Authorized Officer of NXP USA, dated the date hereof (“</w:t>
      </w:r>
      <w:r>
        <w:rPr>
          <w:rFonts w:ascii="Times New Roman" w:cs="Times New Roman" w:eastAsia="Times New Roman" w:hAnsi="Times New Roman"/>
          <w:sz w:val="14"/>
          <w:szCs w:val="14"/>
          <w:u w:val="single" w:color="auto"/>
          <w:color w:val="auto"/>
        </w:rPr>
        <w:t>NXP USA’s Secretary’s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Certificate</w:t>
      </w:r>
      <w:r>
        <w:rPr>
          <w:rFonts w:ascii="Times New Roman" w:cs="Times New Roman" w:eastAsia="Times New Roman" w:hAnsi="Times New Roman"/>
          <w:sz w:val="14"/>
          <w:szCs w:val="14"/>
          <w:color w:val="auto"/>
        </w:rPr>
        <w:t>”); and</w:t>
      </w:r>
    </w:p>
    <w:p>
      <w:pPr>
        <w:spacing w:after="0" w:line="124" w:lineRule="exact"/>
        <w:rPr>
          <w:sz w:val="20"/>
          <w:szCs w:val="20"/>
          <w:color w:val="auto"/>
        </w:rPr>
      </w:pPr>
    </w:p>
    <w:p>
      <w:pPr>
        <w:jc w:val="both"/>
        <w:ind w:left="160" w:right="719" w:firstLine="347"/>
        <w:spacing w:after="0" w:line="271" w:lineRule="auto"/>
        <w:rPr>
          <w:sz w:val="20"/>
          <w:szCs w:val="20"/>
          <w:color w:val="auto"/>
        </w:rPr>
      </w:pPr>
      <w:r>
        <w:rPr>
          <w:rFonts w:ascii="Times New Roman" w:cs="Times New Roman" w:eastAsia="Times New Roman" w:hAnsi="Times New Roman"/>
          <w:sz w:val="14"/>
          <w:szCs w:val="14"/>
          <w:color w:val="auto"/>
        </w:rPr>
        <w:t>(n)  an executed copy of a certificate of Timothy Shelhamer, Authorized Officer of NXP USA, dated May 16, 2022 (“</w:t>
      </w:r>
      <w:r>
        <w:rPr>
          <w:rFonts w:ascii="Times New Roman" w:cs="Times New Roman" w:eastAsia="Times New Roman" w:hAnsi="Times New Roman"/>
          <w:sz w:val="14"/>
          <w:szCs w:val="14"/>
          <w:u w:val="single" w:color="auto"/>
          <w:color w:val="auto"/>
        </w:rPr>
        <w:t>NXP USA’s 2022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Secretary’s Certificate</w:t>
      </w:r>
      <w:r>
        <w:rPr>
          <w:rFonts w:ascii="Times New Roman" w:cs="Times New Roman" w:eastAsia="Times New Roman" w:hAnsi="Times New Roman"/>
          <w:sz w:val="14"/>
          <w:szCs w:val="14"/>
          <w:color w:val="auto"/>
        </w:rPr>
        <w:t>” and, together with NXP Funding’s Secretary’s Certificate, NXP Funding’s 2022 Secretary’s Certificate and NXP USA’s Secretary’s Certificate, the “</w:t>
      </w:r>
      <w:r>
        <w:rPr>
          <w:rFonts w:ascii="Times New Roman" w:cs="Times New Roman" w:eastAsia="Times New Roman" w:hAnsi="Times New Roman"/>
          <w:sz w:val="14"/>
          <w:szCs w:val="14"/>
          <w:u w:val="single" w:color="auto"/>
          <w:color w:val="auto"/>
        </w:rPr>
        <w:t>Secretary’s Certificates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60" w:right="259" w:firstLine="347"/>
        <w:spacing w:after="0" w:line="271" w:lineRule="auto"/>
        <w:rPr>
          <w:sz w:val="20"/>
          <w:szCs w:val="20"/>
          <w:color w:val="auto"/>
        </w:rPr>
      </w:pPr>
      <w:r>
        <w:rPr>
          <w:rFonts w:ascii="Times New Roman" w:cs="Times New Roman" w:eastAsia="Times New Roman" w:hAnsi="Times New Roman"/>
          <w:sz w:val="14"/>
          <w:szCs w:val="14"/>
          <w:color w:val="auto"/>
        </w:rPr>
        <w:t>We have also examined originals or copies, certified or otherwise identified to our satisfaction, of such records of the Parent and the Issuers and such agreements, certificates and receipts of public officials, certificates of officers or other representatives of the Parent and the Issuers and others, and such other documents as we have deemed necessary or appropriate as a basis for the opinions stated below.</w:t>
      </w:r>
    </w:p>
    <w:p>
      <w:pPr>
        <w:spacing w:after="0" w:line="136" w:lineRule="exact"/>
        <w:rPr>
          <w:sz w:val="20"/>
          <w:szCs w:val="20"/>
          <w:color w:val="auto"/>
        </w:rPr>
      </w:pPr>
    </w:p>
    <w:p>
      <w:pPr>
        <w:jc w:val="both"/>
        <w:ind w:left="160" w:right="259" w:firstLine="347"/>
        <w:spacing w:after="0" w:line="262" w:lineRule="auto"/>
        <w:rPr>
          <w:sz w:val="20"/>
          <w:szCs w:val="20"/>
          <w:color w:val="auto"/>
        </w:rPr>
      </w:pPr>
      <w:r>
        <w:rPr>
          <w:rFonts w:ascii="Times New Roman" w:cs="Times New Roman" w:eastAsia="Times New Roman" w:hAnsi="Times New Roman"/>
          <w:sz w:val="14"/>
          <w:szCs w:val="14"/>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Parent and the Issuers and others and of public officials, including the facts and conclusions set forth in the Secretary’s Certificates.</w:t>
      </w:r>
    </w:p>
    <w:p>
      <w:pPr>
        <w:spacing w:after="0" w:line="143" w:lineRule="exact"/>
        <w:rPr>
          <w:sz w:val="20"/>
          <w:szCs w:val="20"/>
          <w:color w:val="auto"/>
        </w:rPr>
      </w:pPr>
    </w:p>
    <w:p>
      <w:pPr>
        <w:ind w:left="160" w:right="339" w:firstLine="347"/>
        <w:spacing w:after="0" w:line="271" w:lineRule="auto"/>
        <w:rPr>
          <w:sz w:val="20"/>
          <w:szCs w:val="20"/>
          <w:color w:val="auto"/>
        </w:rPr>
      </w:pPr>
      <w:r>
        <w:rPr>
          <w:rFonts w:ascii="Times New Roman" w:cs="Times New Roman" w:eastAsia="Times New Roman" w:hAnsi="Times New Roman"/>
          <w:sz w:val="14"/>
          <w:szCs w:val="14"/>
          <w:color w:val="auto"/>
        </w:rPr>
        <w:t>We do not express any opinion with respect to the laws of any jurisdiction other than the laws of the State of New York. The Securities may be issued from time to time on a delayed or continuous basis, and this opinion letter is limited to the laws, including the rules and regulations, as in effect on the date hereof, which laws are subject to change with possible retroactive effect.</w:t>
      </w:r>
    </w:p>
    <w:p>
      <w:pPr>
        <w:spacing w:after="0" w:line="136" w:lineRule="exact"/>
        <w:rPr>
          <w:sz w:val="20"/>
          <w:szCs w:val="20"/>
          <w:color w:val="auto"/>
        </w:rPr>
      </w:pPr>
    </w:p>
    <w:p>
      <w:pPr>
        <w:ind w:left="160" w:right="239" w:firstLine="347"/>
        <w:spacing w:after="0" w:line="288" w:lineRule="auto"/>
        <w:rPr>
          <w:sz w:val="20"/>
          <w:szCs w:val="20"/>
          <w:color w:val="auto"/>
        </w:rPr>
      </w:pPr>
      <w:r>
        <w:rPr>
          <w:rFonts w:ascii="Times New Roman" w:cs="Times New Roman" w:eastAsia="Times New Roman" w:hAnsi="Times New Roman"/>
          <w:sz w:val="14"/>
          <w:szCs w:val="14"/>
          <w:color w:val="auto"/>
        </w:rPr>
        <w:t>As used herein, “</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means the Indenture and the supplemental indentures and officer’s certificates establishing the terms of the Debt Securities and Guarantees pursuant thereto and any applicable underwriting or purchase agreement.</w:t>
      </w:r>
    </w:p>
    <w:p>
      <w:pPr>
        <w:spacing w:after="0" w:line="124"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The opinions stated in paragraphs 1 and 2 below presume that all of the following (collectively, the “general conditions”) shall have occurred prior to the issuance of the Securities referred to therein: (i) the Registration Statement, as finally amended (including all necessary</w:t>
      </w:r>
    </w:p>
    <w:p>
      <w:pPr>
        <w:sectPr>
          <w:pgSz w:w="11900" w:h="16838" w:orient="portrait"/>
          <w:cols w:equalWidth="0" w:num="1">
            <w:col w:w="9019"/>
          </w:cols>
          <w:pgMar w:left="1440" w:top="242" w:right="1440" w:bottom="1440" w:gutter="0" w:footer="0" w:header="0"/>
        </w:sectPr>
      </w:pPr>
    </w:p>
    <w:bookmarkStart w:id="30" w:name="page31"/>
    <w:bookmarkEnd w:id="30"/>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NXP Semiconductors N.V.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August 12, 2025</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4</w:t>
      </w:r>
    </w:p>
    <w:p>
      <w:pPr>
        <w:spacing w:after="0" w:line="112" w:lineRule="exact"/>
        <w:rPr>
          <w:sz w:val="20"/>
          <w:szCs w:val="20"/>
          <w:color w:val="auto"/>
        </w:rPr>
      </w:pPr>
    </w:p>
    <w:p>
      <w:pPr>
        <w:ind w:left="160" w:right="179"/>
        <w:spacing w:after="0" w:line="256" w:lineRule="auto"/>
        <w:rPr>
          <w:sz w:val="20"/>
          <w:szCs w:val="20"/>
          <w:color w:val="auto"/>
        </w:rPr>
      </w:pPr>
      <w:r>
        <w:rPr>
          <w:rFonts w:ascii="Times New Roman" w:cs="Times New Roman" w:eastAsia="Times New Roman" w:hAnsi="Times New Roman"/>
          <w:sz w:val="14"/>
          <w:szCs w:val="14"/>
          <w:color w:val="auto"/>
        </w:rPr>
        <w:t>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Issuers and the Parent, to the extent a party thereto and the other parties thereto, including, if such Securities are to be sold or otherwise distributed pursuant to a firm commitment underwritten offering, the underwriting agreement or purchase agreement with respect thereto; (iv) the Board of Directors, the Board of Management or Sole Member of the Parent, the Company, NXP Funding, or NXP USA, as applicable, including any duly authorized committee thereof, shall have taken all necessary corporate action to approve the issuance and sale of such Securities and related matters and appropriate officers of the Parent, the Company, NXP Funding or NXP USA, as applicable, have taken all related action as directed by or under the direction of the Board of Directors, the Board of Management or the Sole Member of the Parent, the Company, NXP Funding or NXP USA, as applicable; and (v) the terms of the applicable Transaction Documents and the issuance and sale of such Securities have been duly established in conformity with the organizational documents of the Parent and the Issuers so as not to violate any applicable law, the organizational documents of the Parent or the Issuers, or result in a default under or breach of any agreement or instrument binding upon the Parent or any of the Issuers or their respective properties, and so as to comply with any requirement or restriction imposed by any court or governmental body having jurisdiction over the Parent or any of the Issuers or their respective properties.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and assumptions stated herein, we are of the opinion that:</w:t>
      </w:r>
    </w:p>
    <w:p>
      <w:pPr>
        <w:spacing w:after="0" w:line="94" w:lineRule="exact"/>
        <w:rPr>
          <w:sz w:val="20"/>
          <w:szCs w:val="20"/>
          <w:color w:val="auto"/>
        </w:rPr>
      </w:pPr>
    </w:p>
    <w:p>
      <w:pPr>
        <w:ind w:left="160" w:right="179" w:firstLine="347"/>
        <w:spacing w:after="0" w:line="258" w:lineRule="auto"/>
        <w:rPr>
          <w:sz w:val="20"/>
          <w:szCs w:val="20"/>
          <w:color w:val="auto"/>
        </w:rPr>
      </w:pPr>
      <w:r>
        <w:rPr>
          <w:rFonts w:ascii="Times New Roman" w:cs="Times New Roman" w:eastAsia="Times New Roman" w:hAnsi="Times New Roman"/>
          <w:sz w:val="14"/>
          <w:szCs w:val="14"/>
          <w:color w:val="auto"/>
        </w:rPr>
        <w:t>1.  With respect to any series of Debt Securities offered by the Issuers, including any Indeterminate Securities constituting Debt Securities of such series (the “</w:t>
      </w:r>
      <w:r>
        <w:rPr>
          <w:rFonts w:ascii="Times New Roman" w:cs="Times New Roman" w:eastAsia="Times New Roman" w:hAnsi="Times New Roman"/>
          <w:sz w:val="14"/>
          <w:szCs w:val="14"/>
          <w:u w:val="single" w:color="auto"/>
          <w:color w:val="auto"/>
        </w:rPr>
        <w:t>Offered Debt Securities</w:t>
      </w:r>
      <w:r>
        <w:rPr>
          <w:rFonts w:ascii="Times New Roman" w:cs="Times New Roman" w:eastAsia="Times New Roman" w:hAnsi="Times New Roman"/>
          <w:sz w:val="14"/>
          <w:szCs w:val="14"/>
          <w:color w:val="auto"/>
        </w:rPr>
        <w:t>”), when (a) the general conditions shall have been satisfied, (b) the Indenture has been qualified under the Trust Indenture Act of 1939 (the “</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(c) the issuance, sale and terms of the Offered Debt Securities and related matters have been approved and established in conformity with the applicable Transaction Documents and (d)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Issuers, enforceable against the Issuers in accordance with their respective terms under the laws of the State of New York.</w:t>
      </w:r>
    </w:p>
    <w:p>
      <w:pPr>
        <w:spacing w:after="0" w:line="318" w:lineRule="exact"/>
        <w:rPr>
          <w:sz w:val="20"/>
          <w:szCs w:val="20"/>
          <w:color w:val="auto"/>
        </w:rPr>
      </w:pPr>
    </w:p>
    <w:p>
      <w:pPr>
        <w:ind w:left="160" w:right="279" w:firstLine="347"/>
        <w:spacing w:after="0" w:line="265" w:lineRule="auto"/>
        <w:rPr>
          <w:sz w:val="20"/>
          <w:szCs w:val="20"/>
          <w:color w:val="auto"/>
        </w:rPr>
      </w:pPr>
      <w:r>
        <w:rPr>
          <w:rFonts w:ascii="Times New Roman" w:cs="Times New Roman" w:eastAsia="Times New Roman" w:hAnsi="Times New Roman"/>
          <w:sz w:val="14"/>
          <w:szCs w:val="14"/>
          <w:color w:val="auto"/>
        </w:rPr>
        <w:t>2.  With respect to any Guarantee of any series of Offered Debt Securities, including any Guarantee of any Indeterminate Securities constituting Offered Debt Securities of such series (the “</w:t>
      </w:r>
      <w:r>
        <w:rPr>
          <w:rFonts w:ascii="Times New Roman" w:cs="Times New Roman" w:eastAsia="Times New Roman" w:hAnsi="Times New Roman"/>
          <w:sz w:val="14"/>
          <w:szCs w:val="14"/>
          <w:u w:val="single" w:color="auto"/>
          <w:color w:val="auto"/>
        </w:rPr>
        <w:t>Offered Guarantees</w:t>
      </w:r>
      <w:r>
        <w:rPr>
          <w:rFonts w:ascii="Times New Roman" w:cs="Times New Roman" w:eastAsia="Times New Roman" w:hAnsi="Times New Roman"/>
          <w:sz w:val="14"/>
          <w:szCs w:val="14"/>
          <w:color w:val="auto"/>
        </w:rPr>
        <w:t>”), when (a) the general conditions shall have been satisfied, (b) the Indenture has been qualified under the TIA, (c) the issuance, sale and terms of the Offered Guarantees and related matters have been approved and established in conformity with the</w:t>
      </w:r>
    </w:p>
    <w:p>
      <w:pPr>
        <w:sectPr>
          <w:pgSz w:w="11900" w:h="16838" w:orient="portrait"/>
          <w:cols w:equalWidth="0" w:num="1">
            <w:col w:w="9019"/>
          </w:cols>
          <w:pgMar w:left="1440" w:top="242" w:right="1440" w:bottom="1440" w:gutter="0" w:footer="0" w:header="0"/>
        </w:sectPr>
      </w:pPr>
    </w:p>
    <w:bookmarkStart w:id="31" w:name="page32"/>
    <w:bookmarkEnd w:id="31"/>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NXP Semiconductors N.V.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August 12, 2025</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5</w:t>
      </w:r>
    </w:p>
    <w:p>
      <w:pPr>
        <w:spacing w:after="0" w:line="112" w:lineRule="exact"/>
        <w:rPr>
          <w:sz w:val="20"/>
          <w:szCs w:val="20"/>
          <w:color w:val="auto"/>
        </w:rPr>
      </w:pPr>
    </w:p>
    <w:p>
      <w:pPr>
        <w:ind w:left="160" w:right="199"/>
        <w:spacing w:after="0" w:line="262" w:lineRule="auto"/>
        <w:rPr>
          <w:sz w:val="20"/>
          <w:szCs w:val="20"/>
          <w:color w:val="auto"/>
        </w:rPr>
      </w:pPr>
      <w:r>
        <w:rPr>
          <w:rFonts w:ascii="Times New Roman" w:cs="Times New Roman" w:eastAsia="Times New Roman" w:hAnsi="Times New Roman"/>
          <w:sz w:val="14"/>
          <w:szCs w:val="14"/>
          <w:color w:val="auto"/>
        </w:rPr>
        <w:t>applicable Transaction Documents, (d) certificates (if any) evidencing the Offered Guarantees and the certificates evidencing the Debt Securities guaranteed thereby have been duly executed and, if applicable, authenticated in accordance with the provisions of the Indenture and any other applicable Transaction Documents and (e) such Debt Securities have been issued and sold or otherwise distributed in accordance with the provisions of the applicable Transaction Documents upon payment of the agreed-upon consideration therefor, the Offered Guarantees will constitute valid and binding obligations of the Guarantor, enforceable against the Guarantor in accordance with their respective terms under the laws of the State of New York.</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opinions stated herein are subject to the following assumptions and qualifications:</w:t>
      </w:r>
    </w:p>
    <w:p>
      <w:pPr>
        <w:spacing w:after="0" w:line="94" w:lineRule="exact"/>
        <w:rPr>
          <w:sz w:val="20"/>
          <w:szCs w:val="20"/>
          <w:color w:val="auto"/>
        </w:rPr>
      </w:pPr>
    </w:p>
    <w:p>
      <w:pPr>
        <w:ind w:left="160" w:right="219" w:firstLine="347"/>
        <w:spacing w:after="0" w:line="265" w:lineRule="auto"/>
        <w:rPr>
          <w:sz w:val="20"/>
          <w:szCs w:val="20"/>
          <w:color w:val="auto"/>
        </w:rPr>
      </w:pPr>
      <w:r>
        <w:rPr>
          <w:rFonts w:ascii="Times New Roman" w:cs="Times New Roman" w:eastAsia="Times New Roman" w:hAnsi="Times New Roman"/>
          <w:sz w:val="14"/>
          <w:szCs w:val="14"/>
          <w:color w:val="auto"/>
        </w:rPr>
        <w:t>(a)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spacing w:after="0" w:line="140" w:lineRule="exact"/>
        <w:rPr>
          <w:sz w:val="20"/>
          <w:szCs w:val="20"/>
          <w:color w:val="auto"/>
        </w:rPr>
      </w:pPr>
    </w:p>
    <w:p>
      <w:pPr>
        <w:jc w:val="both"/>
        <w:ind w:left="160" w:right="239" w:firstLine="347"/>
        <w:spacing w:after="0" w:line="271" w:lineRule="auto"/>
        <w:rPr>
          <w:sz w:val="20"/>
          <w:szCs w:val="20"/>
          <w:color w:val="auto"/>
        </w:rPr>
      </w:pPr>
      <w:r>
        <w:rPr>
          <w:rFonts w:ascii="Times New Roman" w:cs="Times New Roman" w:eastAsia="Times New Roman" w:hAnsi="Times New Roman"/>
          <w:sz w:val="14"/>
          <w:szCs w:val="14"/>
          <w:color w:val="auto"/>
        </w:rPr>
        <w:t>(b)  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36" w:lineRule="exact"/>
        <w:rPr>
          <w:sz w:val="20"/>
          <w:szCs w:val="20"/>
          <w:color w:val="auto"/>
        </w:rPr>
      </w:pPr>
    </w:p>
    <w:p>
      <w:pPr>
        <w:ind w:left="160" w:right="319" w:firstLine="347"/>
        <w:spacing w:after="0" w:line="288" w:lineRule="auto"/>
        <w:rPr>
          <w:sz w:val="20"/>
          <w:szCs w:val="20"/>
          <w:color w:val="auto"/>
        </w:rPr>
      </w:pPr>
      <w:r>
        <w:rPr>
          <w:rFonts w:ascii="Times New Roman" w:cs="Times New Roman" w:eastAsia="Times New Roman" w:hAnsi="Times New Roman"/>
          <w:sz w:val="14"/>
          <w:szCs w:val="14"/>
          <w:color w:val="auto"/>
        </w:rPr>
        <w:t>(c)  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124" w:lineRule="exact"/>
        <w:rPr>
          <w:sz w:val="20"/>
          <w:szCs w:val="20"/>
          <w:color w:val="auto"/>
        </w:rPr>
      </w:pPr>
    </w:p>
    <w:p>
      <w:pPr>
        <w:ind w:left="160" w:right="299" w:firstLine="347"/>
        <w:spacing w:after="0" w:line="265" w:lineRule="auto"/>
        <w:rPr>
          <w:sz w:val="20"/>
          <w:szCs w:val="20"/>
          <w:color w:val="auto"/>
        </w:rPr>
      </w:pPr>
      <w:r>
        <w:rPr>
          <w:rFonts w:ascii="Times New Roman" w:cs="Times New Roman" w:eastAsia="Times New Roman" w:hAnsi="Times New Roman"/>
          <w:sz w:val="14"/>
          <w:szCs w:val="14"/>
          <w:color w:val="auto"/>
        </w:rPr>
        <w:t>(d)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140" w:lineRule="exact"/>
        <w:rPr>
          <w:sz w:val="20"/>
          <w:szCs w:val="20"/>
          <w:color w:val="auto"/>
        </w:rPr>
      </w:pPr>
    </w:p>
    <w:p>
      <w:pPr>
        <w:ind w:left="160" w:right="179" w:firstLine="347"/>
        <w:spacing w:after="0" w:line="288" w:lineRule="auto"/>
        <w:rPr>
          <w:sz w:val="20"/>
          <w:szCs w:val="20"/>
          <w:color w:val="auto"/>
        </w:rPr>
      </w:pPr>
      <w:r>
        <w:rPr>
          <w:rFonts w:ascii="Times New Roman" w:cs="Times New Roman" w:eastAsia="Times New Roman" w:hAnsi="Times New Roman"/>
          <w:sz w:val="14"/>
          <w:szCs w:val="14"/>
          <w:color w:val="auto"/>
        </w:rPr>
        <w:t>(e)  we do not express any opinion with respect to the enforceability of any provision of any Transaction Document to the extent that such section purports to bind any of the Parent, the Company, NXP Funding or NXP USA to the exclusive jurisdiction of any particular federal court or courts;</w:t>
      </w:r>
    </w:p>
    <w:p>
      <w:pPr>
        <w:spacing w:after="0" w:line="124" w:lineRule="exact"/>
        <w:rPr>
          <w:sz w:val="20"/>
          <w:szCs w:val="20"/>
          <w:color w:val="auto"/>
        </w:rPr>
      </w:pPr>
    </w:p>
    <w:p>
      <w:pPr>
        <w:ind w:left="160" w:right="259" w:firstLine="347"/>
        <w:spacing w:after="0" w:line="265" w:lineRule="auto"/>
        <w:rPr>
          <w:sz w:val="20"/>
          <w:szCs w:val="20"/>
          <w:color w:val="auto"/>
        </w:rPr>
      </w:pPr>
      <w:r>
        <w:rPr>
          <w:rFonts w:ascii="Times New Roman" w:cs="Times New Roman" w:eastAsia="Times New Roman" w:hAnsi="Times New Roman"/>
          <w:sz w:val="14"/>
          <w:szCs w:val="14"/>
          <w:color w:val="auto"/>
        </w:rPr>
        <w:t>(f)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ectPr>
          <w:pgSz w:w="11900" w:h="16838" w:orient="portrait"/>
          <w:cols w:equalWidth="0" w:num="1">
            <w:col w:w="9019"/>
          </w:cols>
          <w:pgMar w:left="1440" w:top="242" w:right="1440" w:bottom="1440" w:gutter="0" w:footer="0" w:header="0"/>
        </w:sectPr>
      </w:pPr>
    </w:p>
    <w:bookmarkStart w:id="32" w:name="page33"/>
    <w:bookmarkEnd w:id="32"/>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NXP Semiconductors N.V.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August 12, 2025</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6</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   the opinions stated herein are limited to the agreements and documents specifically identified in the opinions contained herein (the</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Documents</w:t>
      </w:r>
      <w:r>
        <w:rPr>
          <w:rFonts w:ascii="Times New Roman" w:cs="Times New Roman" w:eastAsia="Times New Roman" w:hAnsi="Times New Roman"/>
          <w:sz w:val="14"/>
          <w:szCs w:val="14"/>
          <w:color w:val="auto"/>
        </w:rPr>
        <w:t>”) without regard to any agreement or other document referenced in any Specified Document (including agreements or other</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documents incorporated by reference or attached or annexed thereto) and without regard to any other agreement or document related to any Specified</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Document that is not a Transaction Document;</w:t>
      </w:r>
    </w:p>
    <w:p>
      <w:pPr>
        <w:spacing w:after="0" w:line="165" w:lineRule="exact"/>
        <w:rPr>
          <w:sz w:val="20"/>
          <w:szCs w:val="20"/>
          <w:color w:val="auto"/>
        </w:rPr>
      </w:pPr>
    </w:p>
    <w:p>
      <w:pPr>
        <w:ind w:left="160" w:right="259" w:firstLine="347"/>
        <w:spacing w:after="0" w:line="271" w:lineRule="auto"/>
        <w:rPr>
          <w:sz w:val="20"/>
          <w:szCs w:val="20"/>
          <w:color w:val="auto"/>
        </w:rPr>
      </w:pPr>
      <w:r>
        <w:rPr>
          <w:rFonts w:ascii="Times New Roman" w:cs="Times New Roman" w:eastAsia="Times New Roman" w:hAnsi="Times New Roman"/>
          <w:sz w:val="14"/>
          <w:szCs w:val="14"/>
          <w:color w:val="auto"/>
        </w:rPr>
        <w:t>(h)  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136" w:lineRule="exact"/>
        <w:rPr>
          <w:sz w:val="20"/>
          <w:szCs w:val="20"/>
          <w:color w:val="auto"/>
        </w:rPr>
      </w:pPr>
    </w:p>
    <w:p>
      <w:pPr>
        <w:jc w:val="both"/>
        <w:ind w:left="160" w:right="179" w:firstLine="347"/>
        <w:spacing w:after="0" w:line="271" w:lineRule="auto"/>
        <w:rPr>
          <w:sz w:val="20"/>
          <w:szCs w:val="20"/>
          <w:color w:val="auto"/>
        </w:rPr>
      </w:pPr>
      <w:r>
        <w:rPr>
          <w:rFonts w:ascii="Times New Roman" w:cs="Times New Roman" w:eastAsia="Times New Roman" w:hAnsi="Times New Roman"/>
          <w:sz w:val="14"/>
          <w:szCs w:val="14"/>
          <w:color w:val="auto"/>
        </w:rPr>
        <w:t>(i)  subsequent to the effectiveness of the Indenture and immediately prior to the issuance of any series Offered Debt Securities, the Indenture has not been amended, restated, supplemented or otherwise modified in any way that affects or relates to such series of Offered Debt Securities other than by the applicable Transaction Documents related to such series of Offered Debt Securities;</w:t>
      </w:r>
    </w:p>
    <w:p>
      <w:pPr>
        <w:spacing w:after="0" w:line="136" w:lineRule="exact"/>
        <w:rPr>
          <w:sz w:val="20"/>
          <w:szCs w:val="20"/>
          <w:color w:val="auto"/>
        </w:rPr>
      </w:pPr>
    </w:p>
    <w:p>
      <w:pPr>
        <w:ind w:left="160" w:right="699" w:firstLine="347"/>
        <w:spacing w:after="0" w:line="288" w:lineRule="auto"/>
        <w:rPr>
          <w:sz w:val="20"/>
          <w:szCs w:val="20"/>
          <w:color w:val="auto"/>
        </w:rPr>
      </w:pPr>
      <w:r>
        <w:rPr>
          <w:rFonts w:ascii="Times New Roman" w:cs="Times New Roman" w:eastAsia="Times New Roman" w:hAnsi="Times New Roman"/>
          <w:sz w:val="14"/>
          <w:szCs w:val="14"/>
          <w:color w:val="auto"/>
        </w:rPr>
        <w:t>(j)  this opinion letter shall be interpreted in accordance with customary practice of United States lawyers who regularly give opinions in transactions of this type;</w:t>
      </w:r>
    </w:p>
    <w:p>
      <w:pPr>
        <w:spacing w:after="0" w:line="124" w:lineRule="exact"/>
        <w:rPr>
          <w:sz w:val="20"/>
          <w:szCs w:val="20"/>
          <w:color w:val="auto"/>
        </w:rPr>
      </w:pPr>
    </w:p>
    <w:p>
      <w:pPr>
        <w:ind w:left="160" w:right="279" w:firstLine="347"/>
        <w:spacing w:after="0" w:line="288" w:lineRule="auto"/>
        <w:rPr>
          <w:sz w:val="20"/>
          <w:szCs w:val="20"/>
          <w:color w:val="auto"/>
        </w:rPr>
      </w:pPr>
      <w:r>
        <w:rPr>
          <w:rFonts w:ascii="Times New Roman" w:cs="Times New Roman" w:eastAsia="Times New Roman" w:hAnsi="Times New Roman"/>
          <w:sz w:val="14"/>
          <w:szCs w:val="14"/>
          <w:color w:val="auto"/>
        </w:rPr>
        <w:t>(k)  we have assumed that the laws of the State of New York will be chosen to govern any Transaction Document entered into subsequent to the date hereof and that such choice is and will be valid and legal;</w:t>
      </w:r>
    </w:p>
    <w:p>
      <w:pPr>
        <w:spacing w:after="0" w:line="124" w:lineRule="exact"/>
        <w:rPr>
          <w:sz w:val="20"/>
          <w:szCs w:val="20"/>
          <w:color w:val="auto"/>
        </w:rPr>
      </w:pPr>
    </w:p>
    <w:p>
      <w:pPr>
        <w:ind w:left="160" w:right="219" w:firstLine="347"/>
        <w:spacing w:after="0" w:line="271" w:lineRule="auto"/>
        <w:rPr>
          <w:sz w:val="20"/>
          <w:szCs w:val="20"/>
          <w:color w:val="auto"/>
        </w:rPr>
      </w:pPr>
      <w:r>
        <w:rPr>
          <w:rFonts w:ascii="Times New Roman" w:cs="Times New Roman" w:eastAsia="Times New Roman" w:hAnsi="Times New Roman"/>
          <w:sz w:val="14"/>
          <w:szCs w:val="14"/>
          <w:color w:val="auto"/>
        </w:rPr>
        <w:t>(l)  we do not express any opinion with respect to the enforceability of any provisions contained in the Offered Guarantees or the related Transaction Documents to the extent that such provisions provide that the obligations of the Guarantor are absolute and unconditional irrespective of the enforceability or genuineness of the Indenture or the effect thereof on the opinions herein stated;</w:t>
      </w:r>
    </w:p>
    <w:p>
      <w:pPr>
        <w:spacing w:after="0" w:line="136" w:lineRule="exact"/>
        <w:rPr>
          <w:sz w:val="20"/>
          <w:szCs w:val="20"/>
          <w:color w:val="auto"/>
        </w:rPr>
      </w:pPr>
    </w:p>
    <w:p>
      <w:pPr>
        <w:ind w:left="160" w:right="399" w:firstLine="347"/>
        <w:spacing w:after="0" w:line="271" w:lineRule="auto"/>
        <w:rPr>
          <w:sz w:val="20"/>
          <w:szCs w:val="20"/>
          <w:color w:val="auto"/>
        </w:rPr>
      </w:pPr>
      <w:r>
        <w:rPr>
          <w:rFonts w:ascii="Times New Roman" w:cs="Times New Roman" w:eastAsia="Times New Roman" w:hAnsi="Times New Roman"/>
          <w:sz w:val="14"/>
          <w:szCs w:val="14"/>
          <w:color w:val="auto"/>
        </w:rPr>
        <w:t>(m)  we do not express any opinion with respect to the enforceability of any provisions contained in the Offered Guarantees or the related Transaction Documents to the extent that such provisions limit the obligation of the Guarantor under the Indenture or any right of contribution of any party with respect to the Offered Guarantees;</w:t>
      </w:r>
    </w:p>
    <w:p>
      <w:pPr>
        <w:spacing w:after="0" w:line="136"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(n)  we call to your attention that the opinions stated herein are subject to possible judicial action giving effect to governmental actions or laws of jurisdictions other than those with respect to which we express our opinion;</w:t>
      </w:r>
    </w:p>
    <w:p>
      <w:pPr>
        <w:sectPr>
          <w:pgSz w:w="11900" w:h="16838" w:orient="portrait"/>
          <w:cols w:equalWidth="0" w:num="1">
            <w:col w:w="9019"/>
          </w:cols>
          <w:pgMar w:left="1440" w:top="242" w:right="1440" w:bottom="1440" w:gutter="0" w:footer="0" w:header="0"/>
        </w:sectPr>
      </w:pPr>
    </w:p>
    <w:bookmarkStart w:id="33" w:name="page34"/>
    <w:bookmarkEnd w:id="33"/>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NXP Semiconductors N.V.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August 12, 2025</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7</w:t>
      </w:r>
    </w:p>
    <w:p>
      <w:pPr>
        <w:spacing w:after="0" w:line="112" w:lineRule="exact"/>
        <w:rPr>
          <w:sz w:val="20"/>
          <w:szCs w:val="20"/>
          <w:color w:val="auto"/>
        </w:rPr>
      </w:pPr>
    </w:p>
    <w:p>
      <w:pPr>
        <w:jc w:val="both"/>
        <w:ind w:left="160" w:right="199" w:firstLine="347"/>
        <w:spacing w:after="0" w:line="271" w:lineRule="auto"/>
        <w:rPr>
          <w:sz w:val="20"/>
          <w:szCs w:val="20"/>
          <w:color w:val="auto"/>
        </w:rPr>
      </w:pPr>
      <w:r>
        <w:rPr>
          <w:rFonts w:ascii="Times New Roman" w:cs="Times New Roman" w:eastAsia="Times New Roman" w:hAnsi="Times New Roman"/>
          <w:sz w:val="14"/>
          <w:szCs w:val="14"/>
          <w:color w:val="auto"/>
        </w:rPr>
        <w:t>(o)  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w:t>
      </w:r>
    </w:p>
    <w:p>
      <w:pPr>
        <w:spacing w:after="0" w:line="136" w:lineRule="exact"/>
        <w:rPr>
          <w:sz w:val="20"/>
          <w:szCs w:val="20"/>
          <w:color w:val="auto"/>
        </w:rPr>
      </w:pPr>
    </w:p>
    <w:p>
      <w:pPr>
        <w:ind w:left="160" w:right="179" w:firstLine="347"/>
        <w:spacing w:after="0" w:line="271" w:lineRule="auto"/>
        <w:rPr>
          <w:sz w:val="20"/>
          <w:szCs w:val="20"/>
          <w:color w:val="auto"/>
        </w:rPr>
      </w:pPr>
      <w:r>
        <w:rPr>
          <w:rFonts w:ascii="Times New Roman" w:cs="Times New Roman" w:eastAsia="Times New Roman" w:hAnsi="Times New Roman"/>
          <w:sz w:val="14"/>
          <w:szCs w:val="14"/>
          <w:color w:val="auto"/>
        </w:rPr>
        <w:t>(p)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 and</w:t>
      </w:r>
    </w:p>
    <w:p>
      <w:pPr>
        <w:spacing w:after="0" w:line="136" w:lineRule="exact"/>
        <w:rPr>
          <w:sz w:val="20"/>
          <w:szCs w:val="20"/>
          <w:color w:val="auto"/>
        </w:rPr>
      </w:pPr>
    </w:p>
    <w:p>
      <w:pPr>
        <w:ind w:left="160" w:right="339" w:firstLine="347"/>
        <w:spacing w:after="0" w:line="271" w:lineRule="auto"/>
        <w:rPr>
          <w:sz w:val="20"/>
          <w:szCs w:val="20"/>
          <w:color w:val="auto"/>
        </w:rPr>
      </w:pPr>
      <w:r>
        <w:rPr>
          <w:rFonts w:ascii="Times New Roman" w:cs="Times New Roman" w:eastAsia="Times New Roman" w:hAnsi="Times New Roman"/>
          <w:sz w:val="14"/>
          <w:szCs w:val="14"/>
          <w:color w:val="auto"/>
        </w:rPr>
        <w:t>(q)  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in rendering the foregoing opinions we have also assumed that:</w:t>
      </w:r>
    </w:p>
    <w:p>
      <w:pPr>
        <w:spacing w:after="0" w:line="94" w:lineRule="exact"/>
        <w:rPr>
          <w:sz w:val="20"/>
          <w:szCs w:val="20"/>
          <w:color w:val="auto"/>
        </w:rPr>
      </w:pPr>
    </w:p>
    <w:p>
      <w:pPr>
        <w:ind w:left="160" w:right="379" w:firstLine="347"/>
        <w:spacing w:after="0" w:line="265" w:lineRule="auto"/>
        <w:rPr>
          <w:sz w:val="20"/>
          <w:szCs w:val="20"/>
          <w:color w:val="auto"/>
        </w:rPr>
      </w:pPr>
      <w:r>
        <w:rPr>
          <w:rFonts w:ascii="Times New Roman" w:cs="Times New Roman" w:eastAsia="Times New Roman" w:hAnsi="Times New Roman"/>
          <w:sz w:val="14"/>
          <w:szCs w:val="14"/>
          <w:color w:val="auto"/>
        </w:rPr>
        <w:t>(a)  each of the Company and the Parent (i) is duly formed and is validly existing and in good standing, (ii) has requisite legal status and legal capacity under the laws of The Netherlands and (iii) has complied and will comply with all aspects of the laws of The Netherlands in connection with the transactions contemplated by, and the performance of its obligations under, the Transaction Documents to which the Company (including in its capacity as the sole member of NXP Funding) or the Parent is a party;</w:t>
      </w:r>
    </w:p>
    <w:p>
      <w:pPr>
        <w:spacing w:after="0" w:line="140" w:lineRule="exact"/>
        <w:rPr>
          <w:sz w:val="20"/>
          <w:szCs w:val="20"/>
          <w:color w:val="auto"/>
        </w:rPr>
      </w:pPr>
    </w:p>
    <w:p>
      <w:pPr>
        <w:ind w:left="160" w:right="699" w:firstLine="347"/>
        <w:spacing w:after="0" w:line="288" w:lineRule="auto"/>
        <w:rPr>
          <w:sz w:val="20"/>
          <w:szCs w:val="20"/>
          <w:color w:val="auto"/>
        </w:rPr>
      </w:pPr>
      <w:r>
        <w:rPr>
          <w:rFonts w:ascii="Times New Roman" w:cs="Times New Roman" w:eastAsia="Times New Roman" w:hAnsi="Times New Roman"/>
          <w:sz w:val="14"/>
          <w:szCs w:val="14"/>
          <w:color w:val="auto"/>
        </w:rPr>
        <w:t>(b)  each of the Company and the Parent has the power and authority to execute, deliver and perform all its obligations under each of the Transaction Documents to which the Company (including in its capacity as the sole member of NXP Funding) or the Parent is a party;</w:t>
      </w:r>
    </w:p>
    <w:p>
      <w:pPr>
        <w:spacing w:after="0" w:line="124" w:lineRule="exact"/>
        <w:rPr>
          <w:sz w:val="20"/>
          <w:szCs w:val="20"/>
          <w:color w:val="auto"/>
        </w:rPr>
      </w:pPr>
    </w:p>
    <w:p>
      <w:pPr>
        <w:ind w:left="160" w:right="219" w:firstLine="347"/>
        <w:spacing w:after="0" w:line="257" w:lineRule="auto"/>
        <w:rPr>
          <w:sz w:val="20"/>
          <w:szCs w:val="20"/>
          <w:color w:val="auto"/>
        </w:rPr>
      </w:pPr>
      <w:r>
        <w:rPr>
          <w:rFonts w:ascii="Times New Roman" w:cs="Times New Roman" w:eastAsia="Times New Roman" w:hAnsi="Times New Roman"/>
          <w:sz w:val="14"/>
          <w:szCs w:val="14"/>
          <w:color w:val="auto"/>
        </w:rPr>
        <w:t>(c)  neither the execution and delivery by the Company, NXP Funding, NXP USA or the Parent of the Transaction Documents to which any of the Company, NXP Funding, NXP USA or the Parent is a party nor the performance by any of the Company, NXP Funding, NXP USA or the Parent of its obligations under each of the Transaction Documents to which any of the Company, NXP Funding, NXP USA or the Parent is a party: (i) conflicts or will conflict with the organizational documents of the Company or the Parent, (ii) constitutes or will constitute a violation of, or a default under, any lease, indenture, agreement or other instrument to which the Company, NXP Funding, NXP USA or the Parent or their property is subject,</w:t>
      </w:r>
    </w:p>
    <w:p>
      <w:pPr>
        <w:spacing w:after="0" w:line="3" w:lineRule="exact"/>
        <w:rPr>
          <w:sz w:val="20"/>
          <w:szCs w:val="20"/>
          <w:color w:val="auto"/>
        </w:rPr>
      </w:pPr>
    </w:p>
    <w:p>
      <w:pPr>
        <w:ind w:left="160" w:right="299" w:firstLine="3"/>
        <w:spacing w:after="0" w:line="258" w:lineRule="auto"/>
        <w:tabs>
          <w:tab w:leader="none" w:pos="40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contravenes or will contravene any order or decree of any governmental authority to which any of the Company, NXP Funding, NXP USA or the Parent or their property is subject, or (iv) violates or will violate any law, rule or regulation to which any of the Company, NXP Funding, NXP USA or the Parent or their property is subject (except that we do not make the assumption set forth in this clause (iv) with respect to the laws of the State of New York);</w:t>
      </w:r>
    </w:p>
    <w:p>
      <w:pPr>
        <w:spacing w:after="0" w:line="145" w:lineRule="exact"/>
        <w:rPr>
          <w:sz w:val="20"/>
          <w:szCs w:val="20"/>
          <w:color w:val="auto"/>
        </w:rPr>
      </w:pPr>
    </w:p>
    <w:p>
      <w:pPr>
        <w:ind w:left="160" w:right="539" w:firstLine="347"/>
        <w:spacing w:after="0" w:line="288" w:lineRule="auto"/>
        <w:rPr>
          <w:sz w:val="20"/>
          <w:szCs w:val="20"/>
          <w:color w:val="auto"/>
        </w:rPr>
      </w:pPr>
      <w:r>
        <w:rPr>
          <w:rFonts w:ascii="Times New Roman" w:cs="Times New Roman" w:eastAsia="Times New Roman" w:hAnsi="Times New Roman"/>
          <w:sz w:val="14"/>
          <w:szCs w:val="14"/>
          <w:color w:val="auto"/>
        </w:rPr>
        <w:t>(d)  neither the execution and delivery by the Company, NXP Funding, NXP USA or the Parent of the Transaction Documents to which the Company, NXP Funding, NXP USA or</w:t>
      </w:r>
    </w:p>
    <w:p>
      <w:pPr>
        <w:sectPr>
          <w:pgSz w:w="11900" w:h="16838" w:orient="portrait"/>
          <w:cols w:equalWidth="0" w:num="1">
            <w:col w:w="9019"/>
          </w:cols>
          <w:pgMar w:left="1440" w:top="242" w:right="1440" w:bottom="1440" w:gutter="0" w:footer="0" w:header="0"/>
        </w:sectPr>
      </w:pPr>
    </w:p>
    <w:bookmarkStart w:id="34" w:name="page35"/>
    <w:bookmarkEnd w:id="34"/>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NXP Semiconductors N.V.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August 12, 2025</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8</w:t>
      </w:r>
    </w:p>
    <w:p>
      <w:pPr>
        <w:spacing w:after="0" w:line="112" w:lineRule="exact"/>
        <w:rPr>
          <w:sz w:val="20"/>
          <w:szCs w:val="20"/>
          <w:color w:val="auto"/>
        </w:rPr>
      </w:pPr>
    </w:p>
    <w:p>
      <w:pPr>
        <w:ind w:left="160" w:right="359"/>
        <w:spacing w:after="0" w:line="271" w:lineRule="auto"/>
        <w:rPr>
          <w:sz w:val="20"/>
          <w:szCs w:val="20"/>
          <w:color w:val="auto"/>
        </w:rPr>
      </w:pPr>
      <w:r>
        <w:rPr>
          <w:rFonts w:ascii="Times New Roman" w:cs="Times New Roman" w:eastAsia="Times New Roman" w:hAnsi="Times New Roman"/>
          <w:sz w:val="14"/>
          <w:szCs w:val="14"/>
          <w:color w:val="auto"/>
        </w:rPr>
        <w:t>the Parent is a party nor the enforceability of each of the Transaction Documents to which the Company, NXP Funding, NXP USA or the Parent is a party against the Company, NXP Funding, NXP USA or the Parent requires or will require the consent, approval, licensing or authorization of, or any filing, recording or registration with, any governmental authority under any law, rule or regulation of any jurisdiction; and</w:t>
      </w:r>
    </w:p>
    <w:p>
      <w:pPr>
        <w:spacing w:after="0" w:line="136" w:lineRule="exact"/>
        <w:rPr>
          <w:sz w:val="20"/>
          <w:szCs w:val="20"/>
          <w:color w:val="auto"/>
        </w:rPr>
      </w:pPr>
    </w:p>
    <w:p>
      <w:pPr>
        <w:ind w:left="160" w:right="199" w:firstLine="347"/>
        <w:spacing w:after="0" w:line="259" w:lineRule="auto"/>
        <w:rPr>
          <w:sz w:val="20"/>
          <w:szCs w:val="20"/>
          <w:color w:val="auto"/>
        </w:rPr>
      </w:pPr>
      <w:r>
        <w:rPr>
          <w:rFonts w:ascii="Times New Roman" w:cs="Times New Roman" w:eastAsia="Times New Roman" w:hAnsi="Times New Roman"/>
          <w:sz w:val="14"/>
          <w:szCs w:val="14"/>
          <w:color w:val="auto"/>
        </w:rPr>
        <w:t>(e)  the LLC Agreement is the only limited liability company agreement, as defined under the Delaware Limited Liability Company Act, of NXP Funding; NXP Funding has, and since the time of its formation has had, at least one validly admitted and existing member of NXP Funding and (i) no procedures have been instituted for, and no other event has occurred, including, without limitation, any action taken by NXP Funding or its sole member, as applicable, that would result in, the liquidation, dissolution or winding-up of NXP Funding, (ii) no event has occurred that has adversely affected the good standing of NXP Funding under the laws of its jurisdiction of formation, and NXP Funding has taken all actions required by the laws of its jurisdiction of formation to maintain such good standing and (iii) no grounds exist for the revocation or forfeiture of NXP Funding’s Certificate of Formation.</w:t>
      </w:r>
    </w:p>
    <w:p>
      <w:pPr>
        <w:spacing w:after="0" w:line="146" w:lineRule="exact"/>
        <w:rPr>
          <w:sz w:val="20"/>
          <w:szCs w:val="20"/>
          <w:color w:val="auto"/>
        </w:rPr>
      </w:pPr>
    </w:p>
    <w:p>
      <w:pPr>
        <w:ind w:left="160" w:right="239" w:firstLine="347"/>
        <w:spacing w:after="0" w:line="262" w:lineRule="auto"/>
        <w:rPr>
          <w:sz w:val="20"/>
          <w:szCs w:val="20"/>
          <w:color w:val="auto"/>
        </w:rPr>
      </w:pPr>
      <w:r>
        <w:rPr>
          <w:rFonts w:ascii="Times New Roman" w:cs="Times New Roman" w:eastAsia="Times New Roman" w:hAnsi="Times New Roman"/>
          <w:sz w:val="14"/>
          <w:szCs w:val="14"/>
          <w:color w:val="auto"/>
        </w:rPr>
        <w:t>We hereby consent to the reference to our firm under the heading “Legal Matters” in the prospectus forming part of the Registration Statement. We also hereby consent to the filing of this opinion letter with the Commission as an exhibit 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/s/ Skadden, Arps, Slate, Meagher &amp; Flom LLP</w:t>
      </w:r>
    </w:p>
    <w:p>
      <w:pPr>
        <w:sectPr>
          <w:pgSz w:w="11900" w:h="16838" w:orient="portrait"/>
          <w:cols w:equalWidth="0" w:num="1">
            <w:col w:w="9019"/>
          </w:cols>
          <w:pgMar w:left="1440" w:top="242" w:right="1440"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line="288" w:lineRule="auto"/>
        <w:rPr>
          <w:sz w:val="20"/>
          <w:szCs w:val="20"/>
          <w:color w:val="auto"/>
        </w:rPr>
      </w:pPr>
      <w:r>
        <w:rPr>
          <w:rFonts w:ascii="Times New Roman" w:cs="Times New Roman" w:eastAsia="Times New Roman" w:hAnsi="Times New Roman"/>
          <w:sz w:val="14"/>
          <w:szCs w:val="14"/>
          <w:color w:val="auto"/>
        </w:rPr>
        <w:t>To the Dutch Issuer, the Foreign Issuers and the Guarantor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Date 12 August 2025</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Our ref.   M44297104/1/20704470/OD</w:t>
      </w:r>
    </w:p>
    <w:p>
      <w:pPr>
        <w:spacing w:after="0" w:line="3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Dear Sir/Madam,</w:t>
      </w:r>
    </w:p>
    <w:p>
      <w:pPr>
        <w:spacing w:after="0" w:line="20" w:lineRule="exact"/>
        <w:rPr>
          <w:sz w:val="20"/>
          <w:szCs w:val="20"/>
          <w:color w:val="auto"/>
        </w:rPr>
      </w:pPr>
      <w:r>
        <w:rPr>
          <w:sz w:val="20"/>
          <w:szCs w:val="20"/>
          <w:color w:val="auto"/>
        </w:rPr>
        <w:br w:type="column"/>
      </w:r>
    </w:p>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203" w:lineRule="exact"/>
        <w:rPr>
          <w:sz w:val="20"/>
          <w:szCs w:val="20"/>
          <w:color w:val="auto"/>
        </w:rPr>
      </w:pPr>
    </w:p>
    <w:p>
      <w:pPr>
        <w:ind w:left="3649"/>
        <w:spacing w:after="0"/>
        <w:rPr>
          <w:sz w:val="20"/>
          <w:szCs w:val="20"/>
          <w:color w:val="auto"/>
        </w:rPr>
      </w:pPr>
      <w:r>
        <w:rPr>
          <w:rFonts w:ascii="Times New Roman" w:cs="Times New Roman" w:eastAsia="Times New Roman" w:hAnsi="Times New Roman"/>
          <w:sz w:val="14"/>
          <w:szCs w:val="14"/>
          <w:color w:val="auto"/>
        </w:rPr>
        <w:t>Advocaten</w:t>
      </w:r>
    </w:p>
    <w:p>
      <w:pPr>
        <w:spacing w:after="0" w:line="23" w:lineRule="exact"/>
        <w:rPr>
          <w:sz w:val="20"/>
          <w:szCs w:val="20"/>
          <w:color w:val="auto"/>
        </w:rPr>
      </w:pPr>
    </w:p>
    <w:p>
      <w:pPr>
        <w:ind w:left="3649"/>
        <w:spacing w:after="0"/>
        <w:rPr>
          <w:sz w:val="20"/>
          <w:szCs w:val="20"/>
          <w:color w:val="auto"/>
        </w:rPr>
      </w:pPr>
      <w:r>
        <w:rPr>
          <w:rFonts w:ascii="Times New Roman" w:cs="Times New Roman" w:eastAsia="Times New Roman" w:hAnsi="Times New Roman"/>
          <w:sz w:val="14"/>
          <w:szCs w:val="14"/>
          <w:color w:val="auto"/>
        </w:rPr>
        <w:t>Notarissen</w:t>
      </w:r>
    </w:p>
    <w:p>
      <w:pPr>
        <w:spacing w:after="0" w:line="9" w:lineRule="exact"/>
        <w:rPr>
          <w:sz w:val="20"/>
          <w:szCs w:val="20"/>
          <w:color w:val="auto"/>
        </w:rPr>
      </w:pPr>
    </w:p>
    <w:p>
      <w:pPr>
        <w:ind w:left="3649"/>
        <w:spacing w:after="0"/>
        <w:rPr>
          <w:sz w:val="20"/>
          <w:szCs w:val="20"/>
          <w:color w:val="auto"/>
        </w:rPr>
      </w:pPr>
      <w:r>
        <w:rPr>
          <w:rFonts w:ascii="Times New Roman" w:cs="Times New Roman" w:eastAsia="Times New Roman" w:hAnsi="Times New Roman"/>
          <w:sz w:val="14"/>
          <w:szCs w:val="14"/>
          <w:color w:val="auto"/>
        </w:rPr>
        <w:t xml:space="preserve">Belastingadviseurs 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134620</wp:posOffset>
            </wp:positionV>
            <wp:extent cx="1141730" cy="398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141730" cy="39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49"/>
        <w:spacing w:after="0"/>
        <w:rPr>
          <w:sz w:val="20"/>
          <w:szCs w:val="20"/>
          <w:color w:val="auto"/>
        </w:rPr>
      </w:pPr>
      <w:r>
        <w:rPr>
          <w:rFonts w:ascii="Times New Roman" w:cs="Times New Roman" w:eastAsia="Times New Roman" w:hAnsi="Times New Roman"/>
          <w:sz w:val="14"/>
          <w:szCs w:val="14"/>
          <w:color w:val="auto"/>
        </w:rPr>
        <w:t>Burgerweeshuispad 201</w:t>
      </w:r>
    </w:p>
    <w:p>
      <w:pPr>
        <w:spacing w:after="0" w:line="23" w:lineRule="exact"/>
        <w:rPr>
          <w:sz w:val="20"/>
          <w:szCs w:val="20"/>
          <w:color w:val="auto"/>
        </w:rPr>
      </w:pPr>
    </w:p>
    <w:p>
      <w:pPr>
        <w:ind w:left="3649"/>
        <w:spacing w:after="0"/>
        <w:rPr>
          <w:sz w:val="20"/>
          <w:szCs w:val="20"/>
          <w:color w:val="auto"/>
        </w:rPr>
      </w:pPr>
      <w:r>
        <w:rPr>
          <w:rFonts w:ascii="Times New Roman" w:cs="Times New Roman" w:eastAsia="Times New Roman" w:hAnsi="Times New Roman"/>
          <w:sz w:val="14"/>
          <w:szCs w:val="14"/>
          <w:color w:val="auto"/>
        </w:rPr>
        <w:t>P.O. Box 75084</w:t>
      </w:r>
    </w:p>
    <w:p>
      <w:pPr>
        <w:spacing w:after="0" w:line="9" w:lineRule="exact"/>
        <w:rPr>
          <w:sz w:val="20"/>
          <w:szCs w:val="20"/>
          <w:color w:val="auto"/>
        </w:rPr>
      </w:pPr>
    </w:p>
    <w:p>
      <w:pPr>
        <w:ind w:left="3649"/>
        <w:spacing w:after="0"/>
        <w:rPr>
          <w:sz w:val="20"/>
          <w:szCs w:val="20"/>
          <w:color w:val="auto"/>
        </w:rPr>
      </w:pPr>
      <w:r>
        <w:rPr>
          <w:rFonts w:ascii="Times New Roman" w:cs="Times New Roman" w:eastAsia="Times New Roman" w:hAnsi="Times New Roman"/>
          <w:sz w:val="14"/>
          <w:szCs w:val="14"/>
          <w:color w:val="auto"/>
        </w:rPr>
        <w:t>1070 AB Amsterdam</w:t>
      </w:r>
    </w:p>
    <w:p>
      <w:pPr>
        <w:spacing w:after="0" w:line="187" w:lineRule="exact"/>
        <w:rPr>
          <w:sz w:val="20"/>
          <w:szCs w:val="20"/>
          <w:color w:val="auto"/>
        </w:rPr>
      </w:pPr>
    </w:p>
    <w:p>
      <w:pPr>
        <w:ind w:left="3649"/>
        <w:spacing w:after="0"/>
        <w:rPr>
          <w:sz w:val="20"/>
          <w:szCs w:val="20"/>
          <w:color w:val="auto"/>
        </w:rPr>
      </w:pPr>
      <w:r>
        <w:rPr>
          <w:rFonts w:ascii="Times New Roman" w:cs="Times New Roman" w:eastAsia="Times New Roman" w:hAnsi="Times New Roman"/>
          <w:sz w:val="14"/>
          <w:szCs w:val="14"/>
          <w:color w:val="auto"/>
        </w:rPr>
        <w:t>T +31 20 577 1771</w:t>
      </w:r>
    </w:p>
    <w:p>
      <w:pPr>
        <w:spacing w:after="0" w:line="23" w:lineRule="exact"/>
        <w:rPr>
          <w:sz w:val="20"/>
          <w:szCs w:val="20"/>
          <w:color w:val="auto"/>
        </w:rPr>
      </w:pPr>
    </w:p>
    <w:p>
      <w:pPr>
        <w:ind w:left="3649"/>
        <w:spacing w:after="0"/>
        <w:rPr>
          <w:sz w:val="20"/>
          <w:szCs w:val="20"/>
          <w:color w:val="auto"/>
        </w:rPr>
      </w:pPr>
      <w:r>
        <w:rPr>
          <w:rFonts w:ascii="Times New Roman" w:cs="Times New Roman" w:eastAsia="Times New Roman" w:hAnsi="Times New Roman"/>
          <w:sz w:val="14"/>
          <w:szCs w:val="14"/>
          <w:color w:val="auto"/>
        </w:rPr>
        <w:t>F +31 20 577 1775</w:t>
      </w:r>
    </w:p>
    <w:p>
      <w:pPr>
        <w:spacing w:after="0" w:line="19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4"/>
          <w:szCs w:val="14"/>
          <w:color w:val="auto"/>
        </w:rPr>
        <w:t>B.J. Boutellier</w:t>
      </w:r>
    </w:p>
    <w:p>
      <w:pPr>
        <w:spacing w:after="0" w:line="23" w:lineRule="exact"/>
        <w:rPr>
          <w:sz w:val="20"/>
          <w:szCs w:val="20"/>
          <w:color w:val="auto"/>
        </w:rPr>
      </w:pPr>
    </w:p>
    <w:p>
      <w:pPr>
        <w:ind w:left="9" w:right="3799" w:hanging="9"/>
        <w:spacing w:after="0" w:line="273" w:lineRule="auto"/>
        <w:tabs>
          <w:tab w:leader="none" w:pos="132"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bas.boutellier@debrauw.com T +31 20 577 1442</w:t>
      </w:r>
    </w:p>
    <w:p>
      <w:pPr>
        <w:ind w:left="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 +31 20 577 1775</w:t>
      </w:r>
    </w:p>
    <w:p>
      <w:pPr>
        <w:spacing w:after="0" w:line="536" w:lineRule="exact"/>
        <w:rPr>
          <w:sz w:val="20"/>
          <w:szCs w:val="20"/>
          <w:color w:val="auto"/>
        </w:rPr>
      </w:pPr>
    </w:p>
    <w:p>
      <w:pPr>
        <w:sectPr>
          <w:pgSz w:w="11900" w:h="16838" w:orient="portrait"/>
          <w:cols w:equalWidth="0" w:num="2">
            <w:col w:w="2860" w:space="591"/>
            <w:col w:w="5569"/>
          </w:cols>
          <w:pgMar w:left="1440" w:top="123"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Registration with the US Securities and Exchange Commission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debt securities issued by the Dutch Issuer and the Foreign Issuers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guaranteed by the Guarantor</w:t>
      </w:r>
    </w:p>
    <w:p>
      <w:pPr>
        <w:spacing w:after="0" w:line="185" w:lineRule="exact"/>
        <w:rPr>
          <w:sz w:val="20"/>
          <w:szCs w:val="20"/>
          <w:color w:val="auto"/>
        </w:rPr>
      </w:pPr>
    </w:p>
    <w:p>
      <w:pPr>
        <w:ind w:left="500" w:hanging="337"/>
        <w:spacing w:after="0"/>
        <w:tabs>
          <w:tab w:leader="none" w:pos="500"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INTRODUCTION</w:t>
      </w:r>
    </w:p>
    <w:p>
      <w:pPr>
        <w:spacing w:after="0" w:line="94" w:lineRule="exact"/>
        <w:rPr>
          <w:rFonts w:ascii="Times New Roman" w:cs="Times New Roman" w:eastAsia="Times New Roman" w:hAnsi="Times New Roman"/>
          <w:sz w:val="14"/>
          <w:szCs w:val="14"/>
          <w:b w:val="1"/>
          <w:bCs w:val="1"/>
          <w:color w:val="auto"/>
        </w:rPr>
      </w:pPr>
    </w:p>
    <w:p>
      <w:pPr>
        <w:ind w:left="520" w:right="579"/>
        <w:spacing w:after="0" w:line="41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De Brauw Blackstone Westbroek N.V, (“</w:t>
      </w:r>
      <w:r>
        <w:rPr>
          <w:rFonts w:ascii="Times New Roman" w:cs="Times New Roman" w:eastAsia="Times New Roman" w:hAnsi="Times New Roman"/>
          <w:sz w:val="14"/>
          <w:szCs w:val="14"/>
          <w:b w:val="1"/>
          <w:bCs w:val="1"/>
          <w:color w:val="auto"/>
        </w:rPr>
        <w:t>De Brauw</w:t>
      </w:r>
      <w:r>
        <w:rPr>
          <w:rFonts w:ascii="Times New Roman" w:cs="Times New Roman" w:eastAsia="Times New Roman" w:hAnsi="Times New Roman"/>
          <w:sz w:val="14"/>
          <w:szCs w:val="14"/>
          <w:color w:val="auto"/>
        </w:rPr>
        <w:t xml:space="preserve">”) act as Dutch legal advisers to the Companies in connection with the Registration. Certain terms used in this opinion are defined in </w:t>
      </w:r>
      <w:r>
        <w:rPr>
          <w:rFonts w:ascii="Times New Roman" w:cs="Times New Roman" w:eastAsia="Times New Roman" w:hAnsi="Times New Roman"/>
          <w:sz w:val="14"/>
          <w:szCs w:val="14"/>
          <w:b w:val="1"/>
          <w:bCs w:val="1"/>
          <w:color w:val="auto"/>
        </w:rPr>
        <w:t>Annex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Definitions</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ind w:left="500" w:hanging="337"/>
        <w:spacing w:after="0"/>
        <w:tabs>
          <w:tab w:leader="none" w:pos="50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SCOPE OF WORK</w:t>
      </w:r>
    </w:p>
    <w:p>
      <w:pPr>
        <w:spacing w:after="0" w:line="96"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set out in paragraphs 1 and 7, we give this opinion as Dutch legal advisers and our duty of care is governed by Dutch law. By implication:</w:t>
      </w:r>
    </w:p>
    <w:p>
      <w:pPr>
        <w:spacing w:after="0" w:line="104" w:lineRule="exact"/>
        <w:rPr>
          <w:rFonts w:ascii="Times New Roman" w:cs="Times New Roman" w:eastAsia="Times New Roman" w:hAnsi="Times New Roman"/>
          <w:sz w:val="14"/>
          <w:szCs w:val="14"/>
          <w:b w:val="1"/>
          <w:bCs w:val="1"/>
          <w:color w:val="auto"/>
        </w:rPr>
      </w:pPr>
    </w:p>
    <w:p>
      <w:pPr>
        <w:ind w:left="920" w:hanging="416"/>
        <w:spacing w:after="0"/>
        <w:tabs>
          <w:tab w:leader="none" w:pos="9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limited to Dutch law. It (including all terms used in it) is to be construed in accordance with Dutch law.</w:t>
      </w:r>
    </w:p>
    <w:p>
      <w:pPr>
        <w:spacing w:after="0" w:line="104" w:lineRule="exact"/>
        <w:rPr>
          <w:rFonts w:ascii="Times New Roman" w:cs="Times New Roman" w:eastAsia="Times New Roman" w:hAnsi="Times New Roman"/>
          <w:sz w:val="14"/>
          <w:szCs w:val="14"/>
          <w:color w:val="auto"/>
        </w:rPr>
      </w:pPr>
    </w:p>
    <w:p>
      <w:pPr>
        <w:ind w:left="920" w:right="499" w:hanging="416"/>
        <w:spacing w:after="0" w:line="288" w:lineRule="auto"/>
        <w:tabs>
          <w:tab w:leader="none" w:pos="9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required by Dutch law, in preparing and issuing this opinion, we have observed the care which is to be expected from a reasonably proficient and reasonably acting Dutch opinion giver in similar circumstances (including our reputation) and accordingly:</w:t>
      </w:r>
    </w:p>
    <w:p>
      <w:pPr>
        <w:spacing w:after="0" w:line="49"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performed the factual research set out in paragraph 3 and not any additional fact-finding actions (including not in</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 Brauw Blackstone Westbroek N.V., Amsterdam, is registered with the Trade Register in the Netherlands under no. 27171912.</w:t>
      </w:r>
    </w:p>
    <w:p>
      <w:pPr>
        <w:spacing w:after="0" w:line="179" w:lineRule="exact"/>
        <w:rPr>
          <w:sz w:val="20"/>
          <w:szCs w:val="20"/>
          <w:color w:val="auto"/>
        </w:rPr>
      </w:pPr>
    </w:p>
    <w:p>
      <w:pPr>
        <w:ind w:left="160" w:right="459"/>
        <w:spacing w:after="0" w:line="271" w:lineRule="auto"/>
        <w:rPr>
          <w:sz w:val="20"/>
          <w:szCs w:val="20"/>
          <w:color w:val="auto"/>
        </w:rPr>
      </w:pPr>
      <w:r>
        <w:rPr>
          <w:rFonts w:ascii="Times New Roman" w:cs="Times New Roman" w:eastAsia="Times New Roman" w:hAnsi="Times New Roman"/>
          <w:sz w:val="14"/>
          <w:szCs w:val="14"/>
          <w:color w:val="auto"/>
        </w:rPr>
        <w:t>All services and other work are carried out under an agreement of instruction (“overeenkomst van opdracht”) with De Brauw Blackstone Westbroek N.V. The agreement is subject to the General Conditions, which have been filed with the register of the District Court in Amsterdam and contain a limitation of liability.</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Client account notaries ING Bank IBAN NL83INGB0693213876 BIC INGBNL2A.</w:t>
      </w:r>
    </w:p>
    <w:p>
      <w:pPr>
        <w:sectPr>
          <w:pgSz w:w="11900" w:h="16838" w:orient="portrait"/>
          <w:cols w:equalWidth="0" w:num="1">
            <w:col w:w="9019"/>
          </w:cols>
          <w:pgMar w:left="1440" w:top="123" w:right="1440" w:bottom="1440" w:gutter="0" w:footer="0" w:header="0"/>
          <w:type w:val="continuous"/>
        </w:sectPr>
      </w:pPr>
    </w:p>
    <w:bookmarkStart w:id="36" w:name="page37"/>
    <w:bookmarkEnd w:id="36"/>
    <w:p>
      <w:pPr>
        <w:ind w:left="1300" w:right="639"/>
        <w:spacing w:after="0" w:line="28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respect of the correctness of the assumptions in paragraph 4 or the applicability of the qualifications in paragraph 6 except as expressly set out in it);</w:t>
      </w:r>
    </w:p>
    <w:p>
      <w:pPr>
        <w:spacing w:after="0" w:line="50" w:lineRule="exact"/>
        <w:rPr>
          <w:sz w:val="20"/>
          <w:szCs w:val="20"/>
          <w:color w:val="auto"/>
        </w:rPr>
      </w:pPr>
    </w:p>
    <w:p>
      <w:pPr>
        <w:ind w:left="1280" w:right="219" w:hanging="340"/>
        <w:spacing w:after="0" w:line="288" w:lineRule="auto"/>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examined the text of the documents listed in paragraph 3 and not researched their meaning and effect beyond their semantic meaning to a Dutch opinion giver (including not their meaning and effect under any law other than Dutch law);</w:t>
      </w:r>
    </w:p>
    <w:p>
      <w:pPr>
        <w:spacing w:after="0" w:line="49" w:lineRule="exact"/>
        <w:rPr>
          <w:rFonts w:ascii="Times New Roman" w:cs="Times New Roman" w:eastAsia="Times New Roman" w:hAnsi="Times New Roman"/>
          <w:sz w:val="14"/>
          <w:szCs w:val="14"/>
          <w:color w:val="auto"/>
        </w:rPr>
      </w:pPr>
    </w:p>
    <w:p>
      <w:pPr>
        <w:ind w:left="1280" w:right="659" w:hanging="340"/>
        <w:spacing w:after="0" w:line="288" w:lineRule="auto"/>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performed legal research into Dutch law reasonably likely to be relevant to this opinion and not any additional legal research (including into Dutch law not in effect on or prior to the date of this opinion); and</w:t>
      </w:r>
    </w:p>
    <w:p>
      <w:pPr>
        <w:spacing w:after="0" w:line="49" w:lineRule="exact"/>
        <w:rPr>
          <w:rFonts w:ascii="Times New Roman" w:cs="Times New Roman" w:eastAsia="Times New Roman" w:hAnsi="Times New Roman"/>
          <w:sz w:val="14"/>
          <w:szCs w:val="14"/>
          <w:color w:val="auto"/>
        </w:rPr>
      </w:pPr>
    </w:p>
    <w:p>
      <w:pPr>
        <w:ind w:left="1280" w:right="739" w:hanging="340"/>
        <w:spacing w:after="0" w:line="288" w:lineRule="auto"/>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or view other than as expressly set out in paragraphs 5 and 6 (including not in respect of any document, or on any reference to a document, not listed in paragraph 3).</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opinion is limited to its date.</w:t>
      </w:r>
    </w:p>
    <w:p>
      <w:pPr>
        <w:spacing w:after="0" w:line="295" w:lineRule="exact"/>
        <w:rPr>
          <w:sz w:val="20"/>
          <w:szCs w:val="20"/>
          <w:color w:val="auto"/>
        </w:rPr>
      </w:pPr>
    </w:p>
    <w:p>
      <w:pPr>
        <w:ind w:left="500" w:hanging="337"/>
        <w:spacing w:after="0"/>
        <w:tabs>
          <w:tab w:leader="none" w:pos="50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FACTUAL RESEARCH</w:t>
      </w:r>
    </w:p>
    <w:p>
      <w:pPr>
        <w:spacing w:after="0" w:line="96"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have examined of the following documents:</w:t>
      </w:r>
    </w:p>
    <w:p>
      <w:pPr>
        <w:spacing w:after="0" w:line="105" w:lineRule="exact"/>
        <w:rPr>
          <w:rFonts w:ascii="Times New Roman" w:cs="Times New Roman" w:eastAsia="Times New Roman" w:hAnsi="Times New Roman"/>
          <w:sz w:val="14"/>
          <w:szCs w:val="14"/>
          <w:b w:val="1"/>
          <w:bCs w:val="1"/>
          <w:color w:val="auto"/>
        </w:rPr>
      </w:pPr>
    </w:p>
    <w:p>
      <w:pPr>
        <w:ind w:left="920" w:hanging="416"/>
        <w:spacing w:after="0"/>
        <w:tabs>
          <w:tab w:leader="none" w:pos="9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and</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Indenture filed as an exhibit to the Registration Statement, including the Guarantee.</w:t>
      </w:r>
    </w:p>
    <w:p>
      <w:pPr>
        <w:spacing w:after="0" w:line="105"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w:t>
      </w:r>
    </w:p>
    <w:p>
      <w:pPr>
        <w:spacing w:after="0" w:line="102" w:lineRule="exact"/>
        <w:rPr>
          <w:rFonts w:ascii="Times New Roman" w:cs="Times New Roman" w:eastAsia="Times New Roman" w:hAnsi="Times New Roman"/>
          <w:sz w:val="14"/>
          <w:szCs w:val="14"/>
          <w:color w:val="auto"/>
        </w:rPr>
      </w:pPr>
    </w:p>
    <w:p>
      <w:pPr>
        <w:ind w:left="1280" w:right="679" w:hanging="340"/>
        <w:spacing w:after="0" w:line="291" w:lineRule="auto"/>
        <w:tabs>
          <w:tab w:leader="none" w:pos="1280"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Company’s deed of incorporation and its articles of association, as provided by the Chamber of Commerce (</w:t>
      </w:r>
      <w:r>
        <w:rPr>
          <w:rFonts w:ascii="Times New Roman" w:cs="Times New Roman" w:eastAsia="Times New Roman" w:hAnsi="Times New Roman"/>
          <w:sz w:val="14"/>
          <w:szCs w:val="14"/>
          <w:i w:val="1"/>
          <w:iCs w:val="1"/>
          <w:color w:val="auto"/>
        </w:rPr>
        <w:t>Kamer van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Koophandel</w:t>
      </w:r>
      <w:r>
        <w:rPr>
          <w:rFonts w:ascii="Times New Roman" w:cs="Times New Roman" w:eastAsia="Times New Roman" w:hAnsi="Times New Roman"/>
          <w:sz w:val="14"/>
          <w:szCs w:val="14"/>
          <w:color w:val="auto"/>
        </w:rPr>
        <w:t>);</w:t>
      </w:r>
    </w:p>
    <w:p>
      <w:pPr>
        <w:spacing w:after="0" w:line="47"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Regulations; and</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Trade Register Extract.</w:t>
      </w:r>
    </w:p>
    <w:p>
      <w:pPr>
        <w:spacing w:after="0" w:line="105"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Corporate Resolution;</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w w:val="96"/>
              </w:rPr>
              <w:t xml:space="preserve">2 </w:t>
            </w:r>
            <w:r>
              <w:rPr>
                <w:rFonts w:ascii="Times New Roman" w:cs="Times New Roman" w:eastAsia="Times New Roman" w:hAnsi="Times New Roman"/>
                <w:sz w:val="14"/>
                <w:szCs w:val="14"/>
                <w:color w:val="auto"/>
                <w:w w:val="96"/>
              </w:rPr>
              <w:t>/ 15</w:t>
            </w:r>
          </w:p>
        </w:tc>
      </w:tr>
    </w:tbl>
    <w:p>
      <w:pPr>
        <w:sectPr>
          <w:pgSz w:w="11900" w:h="16838" w:orient="portrait"/>
          <w:cols w:equalWidth="0" w:num="1">
            <w:col w:w="9019"/>
          </w:cols>
          <w:pgMar w:left="1440" w:top="923" w:right="1440" w:bottom="1440" w:gutter="0" w:footer="0" w:header="0"/>
        </w:sectPr>
      </w:pPr>
    </w:p>
    <w:bookmarkStart w:id="37" w:name="page38"/>
    <w:bookmarkEnd w:id="37"/>
    <w:p>
      <w:pPr>
        <w:ind w:left="1280" w:hanging="340"/>
        <w:spacing w:after="0"/>
        <w:tabs>
          <w:tab w:leader="none" w:pos="1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each Board Certificate; and</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Power of Attorney.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we have obtained the following confirmations on the date of this opinion:</w:t>
      </w:r>
    </w:p>
    <w:p>
      <w:pPr>
        <w:spacing w:after="0" w:line="105" w:lineRule="exact"/>
        <w:rPr>
          <w:sz w:val="20"/>
          <w:szCs w:val="20"/>
          <w:color w:val="auto"/>
        </w:rPr>
      </w:pPr>
    </w:p>
    <w:p>
      <w:pPr>
        <w:ind w:left="920" w:hanging="416"/>
        <w:spacing w:after="0"/>
        <w:tabs>
          <w:tab w:leader="none" w:pos="9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Confirmation by telephone from the Chamber of Commerce that each Trade Register Extract is up to date.</w:t>
      </w:r>
    </w:p>
    <w:p>
      <w:pPr>
        <w:spacing w:after="0" w:line="105" w:lineRule="exact"/>
        <w:rPr>
          <w:rFonts w:ascii="Times New Roman" w:cs="Times New Roman" w:eastAsia="Times New Roman" w:hAnsi="Times New Roman"/>
          <w:sz w:val="14"/>
          <w:szCs w:val="14"/>
          <w:color w:val="auto"/>
        </w:rPr>
      </w:pPr>
    </w:p>
    <w:p>
      <w:pPr>
        <w:ind w:left="920" w:right="399" w:hanging="416"/>
        <w:spacing w:after="0" w:line="268" w:lineRule="auto"/>
        <w:tabs>
          <w:tab w:leader="none" w:pos="9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Confirmation through https://data.europa.eu/data/datasets/consolidated-list-of-persons-groups-and-entities-subject-to-eu-financial-sanctions?locale=en and https://www.rijksoverheid.nl/documenten/rapporten/2015/08/27/nationale-terrorismelijst that no Company is included on any Sanctions List.</w:t>
      </w:r>
    </w:p>
    <w:p>
      <w:pPr>
        <w:spacing w:after="0" w:line="237" w:lineRule="exact"/>
        <w:rPr>
          <w:rFonts w:ascii="Times New Roman" w:cs="Times New Roman" w:eastAsia="Times New Roman" w:hAnsi="Times New Roman"/>
          <w:sz w:val="14"/>
          <w:szCs w:val="14"/>
          <w:color w:val="auto"/>
        </w:rPr>
      </w:pPr>
    </w:p>
    <w:p>
      <w:pPr>
        <w:jc w:val="both"/>
        <w:ind w:left="920" w:right="259" w:hanging="416"/>
        <w:spacing w:after="0" w:line="271" w:lineRule="auto"/>
        <w:tabs>
          <w:tab w:leader="none" w:pos="9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each Company, confirmation through www.rechtspraak.nl, derived from the Central Insolvency Register (including from the segments for EU registrations and publications about public composition proceedings outside bankruptcy), that no Company is registered as being subject to a public Dutch Insolvency or foreign Insolvency Proceedings.</w:t>
      </w:r>
    </w:p>
    <w:p>
      <w:pPr>
        <w:spacing w:after="0" w:line="251" w:lineRule="exact"/>
        <w:rPr>
          <w:sz w:val="20"/>
          <w:szCs w:val="20"/>
          <w:color w:val="auto"/>
        </w:rPr>
      </w:pPr>
    </w:p>
    <w:p>
      <w:pPr>
        <w:ind w:left="500" w:hanging="337"/>
        <w:spacing w:after="0"/>
        <w:tabs>
          <w:tab w:leader="none" w:pos="50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96"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have made the following assumptions:</w:t>
      </w:r>
    </w:p>
    <w:p>
      <w:pPr>
        <w:spacing w:after="0" w:line="105" w:lineRule="exact"/>
        <w:rPr>
          <w:rFonts w:ascii="Times New Roman" w:cs="Times New Roman" w:eastAsia="Times New Roman" w:hAnsi="Times New Roman"/>
          <w:sz w:val="14"/>
          <w:szCs w:val="14"/>
          <w:b w:val="1"/>
          <w:bCs w:val="1"/>
          <w:color w:val="auto"/>
        </w:rPr>
      </w:pPr>
    </w:p>
    <w:p>
      <w:pPr>
        <w:spacing w:after="0"/>
        <w:tabs>
          <w:tab w:leader="none" w:pos="0" w:val="left"/>
        </w:tabs>
        <w:numPr>
          <w:ilvl w:val="1"/>
          <w:numId w:val="25"/>
        </w:numPr>
        <w:rPr>
          <w:rFonts w:ascii="Times New Roman" w:cs="Times New Roman" w:eastAsia="Times New Roman" w:hAnsi="Times New Roman"/>
          <w:sz w:val="14"/>
          <w:szCs w:val="14"/>
          <w:color w:val="auto"/>
        </w:rPr>
      </w:pP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copy document conforms to the original and each original is genuine and complete.</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signature (including each electronic signature) is the genuine signature of the individual concerned.</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electronic signature is a qualified electronic signature or the signing method used for it is sufficiently reliable.</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confirmation listed in paragraph 3 is true.</w:t>
      </w:r>
    </w:p>
    <w:p>
      <w:pPr>
        <w:spacing w:after="0" w:line="105"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has been or will have been filed with the SEC in the form referred to in this opinion.</w:t>
      </w:r>
    </w:p>
    <w:p>
      <w:pPr>
        <w:spacing w:after="0" w:line="105"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Indenture, including the Guarantee, is entered into in the form referred to in this opinion without material deviation.</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w w:val="96"/>
              </w:rPr>
              <w:t xml:space="preserve">3 </w:t>
            </w:r>
            <w:r>
              <w:rPr>
                <w:rFonts w:ascii="Times New Roman" w:cs="Times New Roman" w:eastAsia="Times New Roman" w:hAnsi="Times New Roman"/>
                <w:sz w:val="14"/>
                <w:szCs w:val="14"/>
                <w:color w:val="auto"/>
                <w:w w:val="96"/>
              </w:rPr>
              <w:t>/ 15</w:t>
            </w:r>
          </w:p>
        </w:tc>
      </w:tr>
    </w:tbl>
    <w:p>
      <w:pPr>
        <w:sectPr>
          <w:pgSz w:w="11900" w:h="16838" w:orient="portrait"/>
          <w:cols w:equalWidth="0" w:num="1">
            <w:col w:w="9019"/>
          </w:cols>
          <w:pgMar w:left="1440" w:top="923" w:right="1440" w:bottom="1440" w:gutter="0" w:footer="0" w:header="0"/>
        </w:sectPr>
      </w:pPr>
    </w:p>
    <w:bookmarkStart w:id="38" w:name="page39"/>
    <w:bookmarkEnd w:id="38"/>
    <w:p>
      <w:pPr>
        <w:ind w:left="5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(d)</w:t>
      </w:r>
    </w:p>
    <w:p>
      <w:pPr>
        <w:spacing w:after="0" w:line="105" w:lineRule="exact"/>
        <w:rPr>
          <w:sz w:val="20"/>
          <w:szCs w:val="20"/>
          <w:color w:val="auto"/>
        </w:rPr>
      </w:pPr>
    </w:p>
    <w:p>
      <w:pPr>
        <w:ind w:left="1280" w:hanging="340"/>
        <w:spacing w:after="0"/>
        <w:tabs>
          <w:tab w:leader="none" w:pos="1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Regulations remain in force without modification.</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Corporate Resolution has been duly adopted and remains in force without modification</w:t>
      </w:r>
    </w:p>
    <w:p>
      <w:pPr>
        <w:spacing w:after="0" w:line="102" w:lineRule="exact"/>
        <w:rPr>
          <w:rFonts w:ascii="Times New Roman" w:cs="Times New Roman" w:eastAsia="Times New Roman" w:hAnsi="Times New Roman"/>
          <w:sz w:val="14"/>
          <w:szCs w:val="14"/>
          <w:color w:val="auto"/>
        </w:rPr>
      </w:pPr>
    </w:p>
    <w:p>
      <w:pPr>
        <w:ind w:left="1280" w:right="659" w:hanging="340"/>
        <w:spacing w:after="0" w:line="291" w:lineRule="auto"/>
        <w:tabs>
          <w:tab w:leader="none" w:pos="1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works council (</w:t>
      </w:r>
      <w:r>
        <w:rPr>
          <w:rFonts w:ascii="Times New Roman" w:cs="Times New Roman" w:eastAsia="Times New Roman" w:hAnsi="Times New Roman"/>
          <w:sz w:val="14"/>
          <w:szCs w:val="14"/>
          <w:i w:val="1"/>
          <w:iCs w:val="1"/>
          <w:color w:val="auto"/>
        </w:rPr>
        <w:t>ondernemingsraad</w:t>
      </w:r>
      <w:r>
        <w:rPr>
          <w:rFonts w:ascii="Times New Roman" w:cs="Times New Roman" w:eastAsia="Times New Roman" w:hAnsi="Times New Roman"/>
          <w:sz w:val="14"/>
          <w:szCs w:val="14"/>
          <w:color w:val="auto"/>
        </w:rPr>
        <w:t>) the advice of which must be sought in respect of any Company’s filing of the Registration Statement.</w:t>
      </w:r>
    </w:p>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w:t>
      </w:r>
    </w:p>
    <w:p>
      <w:pPr>
        <w:spacing w:after="0" w:line="105" w:lineRule="exact"/>
        <w:rPr>
          <w:sz w:val="20"/>
          <w:szCs w:val="20"/>
          <w:color w:val="auto"/>
        </w:rPr>
      </w:pPr>
    </w:p>
    <w:p>
      <w:pPr>
        <w:ind w:left="1280" w:right="219" w:hanging="340"/>
        <w:spacing w:after="0" w:line="288" w:lineRule="auto"/>
        <w:tabs>
          <w:tab w:leader="none" w:pos="128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other than each Company expressed to be a party to it has validly entered into the Indenture, including the Guarantee and all Dutch Issuer Securities will have been validly issued.</w:t>
      </w:r>
    </w:p>
    <w:p>
      <w:pPr>
        <w:spacing w:after="0" w:line="49"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required, the Dutch Issuer Securities will have been validly authenticated in accordance with the Indenture.</w:t>
      </w:r>
    </w:p>
    <w:p>
      <w:pPr>
        <w:spacing w:after="0" w:line="105" w:lineRule="exact"/>
        <w:rPr>
          <w:rFonts w:ascii="Times New Roman" w:cs="Times New Roman" w:eastAsia="Times New Roman" w:hAnsi="Times New Roman"/>
          <w:sz w:val="14"/>
          <w:szCs w:val="14"/>
          <w:color w:val="auto"/>
        </w:rPr>
      </w:pPr>
    </w:p>
    <w:p>
      <w:pPr>
        <w:ind w:left="1280" w:right="199" w:hanging="340"/>
        <w:spacing w:after="0" w:line="262" w:lineRule="auto"/>
        <w:tabs>
          <w:tab w:leader="none" w:pos="128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Power of Attorney remains in force without modification and no rule of law (other than Dutch law) which under the 1978 Hague Convention on the Law applicable to Agency applies or may be applied to the existence and extent of the authority of any person authorised to sign the Indenture, including the Guarantee, on behalf of each Company under the Power of Attorney, adversely affects the existence and extent of that authority as expressed in the Power of Attorney (including, whether or not expressed, to sign by electronic signature).</w:t>
      </w:r>
    </w:p>
    <w:p>
      <w:pPr>
        <w:spacing w:after="0" w:line="68" w:lineRule="exact"/>
        <w:rPr>
          <w:rFonts w:ascii="Times New Roman" w:cs="Times New Roman" w:eastAsia="Times New Roman" w:hAnsi="Times New Roman"/>
          <w:sz w:val="14"/>
          <w:szCs w:val="14"/>
          <w:color w:val="auto"/>
        </w:rPr>
      </w:pPr>
    </w:p>
    <w:p>
      <w:pPr>
        <w:ind w:left="920" w:right="439" w:hanging="416"/>
        <w:spacing w:after="0" w:line="288" w:lineRule="auto"/>
        <w:tabs>
          <w:tab w:leader="none" w:pos="9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validly signed by all parties, the Indenture, including the Guarantee and the Dutch Issuer Securities are valid and binding on and enforceable against each party under New York Law by which they are expressed to be governed.</w:t>
      </w:r>
    </w:p>
    <w:p>
      <w:pPr>
        <w:spacing w:after="0" w:line="49"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Dutch Issuer and the Foreign Issuers are wholly owned subsidiaries of the Guarantor.</w:t>
      </w:r>
    </w:p>
    <w:p>
      <w:pPr>
        <w:spacing w:after="0" w:line="295" w:lineRule="exact"/>
        <w:rPr>
          <w:sz w:val="20"/>
          <w:szCs w:val="20"/>
          <w:color w:val="auto"/>
        </w:rPr>
      </w:pPr>
    </w:p>
    <w:p>
      <w:pPr>
        <w:ind w:left="500" w:hanging="337"/>
        <w:spacing w:after="0"/>
        <w:tabs>
          <w:tab w:leader="none" w:pos="50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w:t>
      </w:r>
    </w:p>
    <w:p>
      <w:pPr>
        <w:spacing w:after="0" w:line="96" w:lineRule="exact"/>
        <w:rPr>
          <w:rFonts w:ascii="Times New Roman" w:cs="Times New Roman" w:eastAsia="Times New Roman" w:hAnsi="Times New Roman"/>
          <w:sz w:val="14"/>
          <w:szCs w:val="14"/>
          <w:b w:val="1"/>
          <w:bCs w:val="1"/>
          <w:color w:val="auto"/>
        </w:rPr>
      </w:pPr>
    </w:p>
    <w:p>
      <w:pPr>
        <w:ind w:left="520" w:right="199"/>
        <w:spacing w:after="0" w:line="28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Within the limitations set out in paragraph 2, based on the factual research described in paragraph 3 and the assumptions made in paragraph 4, and subject to the qualifications in paragraph 6 and any matters not disclosed to us in the context of this opinion, we are of the following opinion:</w:t>
      </w:r>
    </w:p>
    <w:p>
      <w:pPr>
        <w:spacing w:after="0" w:line="69"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w w:val="96"/>
              </w:rPr>
              <w:t xml:space="preserve">4 </w:t>
            </w:r>
            <w:r>
              <w:rPr>
                <w:rFonts w:ascii="Times New Roman" w:cs="Times New Roman" w:eastAsia="Times New Roman" w:hAnsi="Times New Roman"/>
                <w:sz w:val="14"/>
                <w:szCs w:val="14"/>
                <w:color w:val="auto"/>
                <w:w w:val="96"/>
              </w:rPr>
              <w:t>/ 15</w:t>
            </w:r>
          </w:p>
        </w:tc>
      </w:tr>
    </w:tbl>
    <w:p>
      <w:pPr>
        <w:sectPr>
          <w:pgSz w:w="11900" w:h="16838" w:orient="portrait"/>
          <w:cols w:equalWidth="0" w:num="1">
            <w:col w:w="9019"/>
          </w:cols>
          <w:pgMar w:left="1440" w:top="923" w:right="1440" w:bottom="1440" w:gutter="0" w:footer="0" w:header="0"/>
        </w:sectPr>
      </w:pPr>
    </w:p>
    <w:bookmarkStart w:id="39" w:name="page40"/>
    <w:bookmarkEnd w:id="39"/>
    <w:p>
      <w:pPr>
        <w:ind w:left="920" w:right="1059" w:hanging="416"/>
        <w:spacing w:after="0" w:line="291" w:lineRule="auto"/>
        <w:tabs>
          <w:tab w:leader="none" w:pos="9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Each Company has been incorporated and exists as a private limited liability company (</w:t>
      </w:r>
      <w:r>
        <w:rPr>
          <w:rFonts w:ascii="Times New Roman" w:cs="Times New Roman" w:eastAsia="Times New Roman" w:hAnsi="Times New Roman"/>
          <w:sz w:val="14"/>
          <w:szCs w:val="14"/>
          <w:i w:val="1"/>
          <w:iCs w:val="1"/>
          <w:color w:val="auto"/>
        </w:rPr>
        <w:t>besloten vennootschap met beperkte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aansprakelijkheid</w:t>
      </w:r>
      <w:r>
        <w:rPr>
          <w:rFonts w:ascii="Times New Roman" w:cs="Times New Roman" w:eastAsia="Times New Roman" w:hAnsi="Times New Roman"/>
          <w:sz w:val="14"/>
          <w:szCs w:val="14"/>
          <w:color w:val="auto"/>
        </w:rPr>
        <w:t>) or, in case of the Guarantor,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w:t>
      </w:r>
    </w:p>
    <w:p>
      <w:pPr>
        <w:spacing w:after="0" w:line="105" w:lineRule="exact"/>
        <w:rPr>
          <w:sz w:val="20"/>
          <w:szCs w:val="20"/>
          <w:color w:val="auto"/>
        </w:rPr>
      </w:pPr>
    </w:p>
    <w:p>
      <w:pPr>
        <w:ind w:left="1280" w:right="359" w:hanging="340"/>
        <w:spacing w:after="0" w:line="288" w:lineRule="auto"/>
        <w:tabs>
          <w:tab w:leader="none" w:pos="12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has the corporate power to enter into and perform the Indenture and, in the case of the Guarantor, to enter into and perform the Guarantee, and, in the case of the Dutch Issuer, to issue and perform the Dutch Issuer Securities.</w:t>
      </w:r>
    </w:p>
    <w:p>
      <w:pPr>
        <w:spacing w:after="0" w:line="49" w:lineRule="exact"/>
        <w:rPr>
          <w:rFonts w:ascii="Times New Roman" w:cs="Times New Roman" w:eastAsia="Times New Roman" w:hAnsi="Times New Roman"/>
          <w:sz w:val="14"/>
          <w:szCs w:val="14"/>
          <w:color w:val="auto"/>
        </w:rPr>
      </w:pPr>
    </w:p>
    <w:p>
      <w:pPr>
        <w:ind w:left="1280" w:right="239" w:hanging="340"/>
        <w:spacing w:after="0" w:line="271" w:lineRule="auto"/>
        <w:tabs>
          <w:tab w:leader="none" w:pos="12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has taken all necessary corporate action to authorise its entry into and performance of the Indenture and, in the case of the Guarantor, to enter into and perform the Guarantee, and, in the case of the Dutch Issuer, to issue and perform the Dutch Issuer Securities.</w:t>
      </w:r>
    </w:p>
    <w:p>
      <w:pPr>
        <w:spacing w:after="0" w:line="61"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has validly signed the Registration Statement.</w:t>
      </w:r>
    </w:p>
    <w:p>
      <w:pPr>
        <w:spacing w:after="0" w:line="105" w:lineRule="exact"/>
        <w:rPr>
          <w:rFonts w:ascii="Times New Roman" w:cs="Times New Roman" w:eastAsia="Times New Roman" w:hAnsi="Times New Roman"/>
          <w:sz w:val="14"/>
          <w:szCs w:val="14"/>
          <w:color w:val="auto"/>
        </w:rPr>
      </w:pPr>
    </w:p>
    <w:p>
      <w:pPr>
        <w:ind w:left="920" w:right="419" w:hanging="416"/>
        <w:spacing w:after="0" w:line="271" w:lineRule="auto"/>
        <w:tabs>
          <w:tab w:leader="none" w:pos="9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Company’s entry into and performance of the Indenture, and, in the case of the Guarantor, its entry into and performance of the Guarantee, and, in the case of the Dutch Issuer, the issue and performance of the Dutch Issuer Securities do not violate Dutch law or its articles of association.</w:t>
      </w:r>
    </w:p>
    <w:p>
      <w:pPr>
        <w:spacing w:after="0" w:line="61"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issued, the Dutch Issuer Securities will have been validly issued.</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w:t>
      </w:r>
    </w:p>
    <w:p>
      <w:pPr>
        <w:spacing w:after="0" w:line="105" w:lineRule="exact"/>
        <w:rPr>
          <w:sz w:val="20"/>
          <w:szCs w:val="20"/>
          <w:color w:val="auto"/>
        </w:rPr>
      </w:pPr>
    </w:p>
    <w:p>
      <w:pPr>
        <w:ind w:left="1280" w:right="499" w:hanging="340"/>
        <w:spacing w:after="0" w:line="288" w:lineRule="auto"/>
        <w:tabs>
          <w:tab w:leader="none" w:pos="12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choice of New York Law as the governing law of the Indenture, including the Guarantee, and the Dutch Issuer Securities is recognised.</w:t>
      </w:r>
    </w:p>
    <w:p>
      <w:pPr>
        <w:spacing w:after="0" w:line="49" w:lineRule="exact"/>
        <w:rPr>
          <w:rFonts w:ascii="Times New Roman" w:cs="Times New Roman" w:eastAsia="Times New Roman" w:hAnsi="Times New Roman"/>
          <w:sz w:val="14"/>
          <w:szCs w:val="14"/>
          <w:color w:val="auto"/>
        </w:rPr>
      </w:pPr>
    </w:p>
    <w:p>
      <w:pPr>
        <w:ind w:left="1280" w:right="339" w:hanging="340"/>
        <w:spacing w:after="0" w:line="288" w:lineRule="auto"/>
        <w:tabs>
          <w:tab w:leader="none" w:pos="12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Dutch law does not restrict the validity and binding effect on and enforceability against each Company of the Indenture and, in the case of the Guarantor, the Guarantee, and, in case of the Dutch Issuer, the Dutch Issuer Securities.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w:t>
      </w:r>
    </w:p>
    <w:p>
      <w:pPr>
        <w:spacing w:after="0" w:line="105" w:lineRule="exact"/>
        <w:rPr>
          <w:sz w:val="20"/>
          <w:szCs w:val="20"/>
          <w:color w:val="auto"/>
        </w:rPr>
      </w:pPr>
    </w:p>
    <w:p>
      <w:pPr>
        <w:ind w:left="1280" w:right="299" w:hanging="340"/>
        <w:spacing w:after="0" w:line="288" w:lineRule="auto"/>
        <w:tabs>
          <w:tab w:leader="none" w:pos="12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validity and binding effect on and enforceability against the Dutch Issuer of the submission to the jurisdiction of the New York Court in the Indenture, including the Guarantee:</w:t>
      </w:r>
    </w:p>
    <w:p>
      <w:pPr>
        <w:spacing w:after="0" w:line="69"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w w:val="96"/>
              </w:rPr>
              <w:t xml:space="preserve">5 </w:t>
            </w:r>
            <w:r>
              <w:rPr>
                <w:rFonts w:ascii="Times New Roman" w:cs="Times New Roman" w:eastAsia="Times New Roman" w:hAnsi="Times New Roman"/>
                <w:sz w:val="14"/>
                <w:szCs w:val="14"/>
                <w:color w:val="auto"/>
                <w:w w:val="96"/>
              </w:rPr>
              <w:t>/ 15</w:t>
            </w:r>
          </w:p>
        </w:tc>
      </w:tr>
    </w:tbl>
    <w:p>
      <w:pPr>
        <w:sectPr>
          <w:pgSz w:w="11900" w:h="16838" w:orient="portrait"/>
          <w:cols w:equalWidth="0" w:num="1">
            <w:col w:w="9019"/>
          </w:cols>
          <w:pgMar w:left="1440" w:top="921" w:right="1440" w:bottom="1440" w:gutter="0" w:footer="0" w:header="0"/>
        </w:sectPr>
      </w:pPr>
    </w:p>
    <w:bookmarkStart w:id="40" w:name="page41"/>
    <w:bookmarkEnd w:id="40"/>
    <w:p>
      <w:pPr>
        <w:ind w:left="1720" w:hanging="429"/>
        <w:spacing w:after="0"/>
        <w:tabs>
          <w:tab w:leader="none" w:pos="17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under Dutch private international law are likely governed by New York Law; and</w:t>
      </w:r>
    </w:p>
    <w:p>
      <w:pPr>
        <w:spacing w:after="0" w:line="105" w:lineRule="exact"/>
        <w:rPr>
          <w:rFonts w:ascii="Times New Roman" w:cs="Times New Roman" w:eastAsia="Times New Roman" w:hAnsi="Times New Roman"/>
          <w:sz w:val="14"/>
          <w:szCs w:val="14"/>
          <w:color w:val="auto"/>
        </w:rPr>
      </w:pPr>
    </w:p>
    <w:p>
      <w:pPr>
        <w:ind w:left="1720" w:hanging="429"/>
        <w:spacing w:after="0"/>
        <w:tabs>
          <w:tab w:leader="none" w:pos="17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restricted by Dutch law.</w:t>
      </w:r>
    </w:p>
    <w:p>
      <w:pPr>
        <w:spacing w:after="0" w:line="105" w:lineRule="exact"/>
        <w:rPr>
          <w:rFonts w:ascii="Times New Roman" w:cs="Times New Roman" w:eastAsia="Times New Roman" w:hAnsi="Times New Roman"/>
          <w:sz w:val="14"/>
          <w:szCs w:val="14"/>
          <w:color w:val="auto"/>
        </w:rPr>
      </w:pPr>
    </w:p>
    <w:p>
      <w:pPr>
        <w:ind w:left="1280" w:right="179" w:hanging="340"/>
        <w:spacing w:after="0" w:line="260" w:lineRule="auto"/>
        <w:tabs>
          <w:tab w:leader="none" w:pos="12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judgment in a civil or commercial matter rendered by a New York Court cannot be enforced in the Netherlands. However, if a person has obtained a final judgment without appeal in such a matter rendered by a New York Court which is enforceable in New York and files his claim with a Dutch court with jurisdiction, the Dutch court will generally recognise and give effect to the judgment insofar as it finds that (A) the jurisdiction of the court has been based on an internationally generally accepted ground, (B) proper legal procedures have been observed, (C) the judgment does not contravene Dutch public policy, and (D) the judgment is not irreconcilable with a judgment of a Dutch court or an earlier judgment of a foreign court that is capable of being recognised in the Netherlands.</w:t>
      </w:r>
    </w:p>
    <w:p>
      <w:pPr>
        <w:spacing w:after="0" w:line="200" w:lineRule="exact"/>
        <w:rPr>
          <w:sz w:val="20"/>
          <w:szCs w:val="20"/>
          <w:color w:val="auto"/>
        </w:rPr>
      </w:pPr>
    </w:p>
    <w:p>
      <w:pPr>
        <w:spacing w:after="0" w:line="230" w:lineRule="exact"/>
        <w:rPr>
          <w:sz w:val="20"/>
          <w:szCs w:val="20"/>
          <w:color w:val="auto"/>
        </w:rPr>
      </w:pPr>
    </w:p>
    <w:p>
      <w:pPr>
        <w:ind w:left="500" w:hanging="337"/>
        <w:spacing w:after="0"/>
        <w:tabs>
          <w:tab w:leader="none" w:pos="50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QUALIFICATIONS</w:t>
      </w:r>
    </w:p>
    <w:p>
      <w:pPr>
        <w:spacing w:after="0" w:line="96"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This opinion is subject to the following qualifications:</w:t>
      </w:r>
    </w:p>
    <w:p>
      <w:pPr>
        <w:spacing w:after="0" w:line="105" w:lineRule="exact"/>
        <w:rPr>
          <w:rFonts w:ascii="Times New Roman" w:cs="Times New Roman" w:eastAsia="Times New Roman" w:hAnsi="Times New Roman"/>
          <w:sz w:val="14"/>
          <w:szCs w:val="14"/>
          <w:b w:val="1"/>
          <w:bCs w:val="1"/>
          <w:color w:val="auto"/>
        </w:rPr>
      </w:pPr>
    </w:p>
    <w:p>
      <w:pPr>
        <w:ind w:left="920" w:right="179" w:hanging="416"/>
        <w:spacing w:after="0" w:line="271" w:lineRule="auto"/>
        <w:tabs>
          <w:tab w:leader="none" w:pos="9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subject to any limitations arising from (i) rules relating to Dutch Insolvencies, (ii) rules relating to foreign insolvency or composition or restructuring proceedings (including foreign Insolvency Proceedings), (iii) other rules regulating conflicts between rights of creditors, or (iv) resolution, intervention and other measures in relation to financial enterprises or their affiliated entities.</w:t>
      </w:r>
    </w:p>
    <w:p>
      <w:pPr>
        <w:spacing w:after="0" w:line="61"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recognition of New York Law as the governing law of the Indenture, including the Guarantee, and the Dutch Issuer Securities:</w:t>
      </w:r>
    </w:p>
    <w:p>
      <w:pPr>
        <w:spacing w:after="0" w:line="105" w:lineRule="exact"/>
        <w:rPr>
          <w:sz w:val="20"/>
          <w:szCs w:val="20"/>
          <w:color w:val="auto"/>
        </w:rPr>
      </w:pPr>
    </w:p>
    <w:p>
      <w:pPr>
        <w:ind w:left="1280" w:right="219" w:hanging="340"/>
        <w:spacing w:after="0" w:line="262" w:lineRule="auto"/>
        <w:tabs>
          <w:tab w:leader="none" w:pos="12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prejudice the provisions of the law of the European Union (where appropriate as implemented in the Netherlands) which cannot be derogated from by agreement if all elements relevant to the situation at the time when the Indenture, including the Guarantee, was entered into or the Dutch Issuer Securities were issued (other than the choice of New York Law as the governing law of the Indenture, including the Guarantee, or the Dutch Issuer Securities) are located in one or more Member States of the European Union;</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(ii)</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w w:val="96"/>
              </w:rPr>
              <w:t xml:space="preserve">6 </w:t>
            </w:r>
            <w:r>
              <w:rPr>
                <w:rFonts w:ascii="Times New Roman" w:cs="Times New Roman" w:eastAsia="Times New Roman" w:hAnsi="Times New Roman"/>
                <w:sz w:val="14"/>
                <w:szCs w:val="14"/>
                <w:color w:val="auto"/>
                <w:w w:val="96"/>
              </w:rPr>
              <w:t>/ 15</w:t>
            </w:r>
          </w:p>
        </w:tc>
      </w:tr>
    </w:tbl>
    <w:p>
      <w:pPr>
        <w:sectPr>
          <w:pgSz w:w="11900" w:h="16838" w:orient="portrait"/>
          <w:cols w:equalWidth="0" w:num="1">
            <w:col w:w="9019"/>
          </w:cols>
          <w:pgMar w:left="1440" w:top="923" w:right="1440" w:bottom="1440" w:gutter="0" w:footer="0" w:header="0"/>
        </w:sectPr>
      </w:pPr>
    </w:p>
    <w:bookmarkStart w:id="41" w:name="page42"/>
    <w:bookmarkEnd w:id="41"/>
    <w:p>
      <w:pPr>
        <w:ind w:left="1720" w:hanging="429"/>
        <w:spacing w:after="0"/>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will not restrict the application of the overriding provisions of Dutch law; and</w:t>
      </w:r>
    </w:p>
    <w:p>
      <w:pPr>
        <w:spacing w:after="0" w:line="105" w:lineRule="exact"/>
        <w:rPr>
          <w:rFonts w:ascii="Times New Roman" w:cs="Times New Roman" w:eastAsia="Times New Roman" w:hAnsi="Times New Roman"/>
          <w:sz w:val="14"/>
          <w:szCs w:val="14"/>
          <w:color w:val="auto"/>
        </w:rPr>
      </w:pPr>
    </w:p>
    <w:p>
      <w:pPr>
        <w:ind w:left="1720" w:right="479" w:hanging="429"/>
        <w:spacing w:after="0" w:line="288" w:lineRule="auto"/>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prevent effect being given to the overriding provisions of the law of a jurisdiction with which the situation has a close connection;</w:t>
      </w:r>
    </w:p>
    <w:p>
      <w:pPr>
        <w:spacing w:after="0" w:line="39" w:lineRule="exact"/>
        <w:rPr>
          <w:sz w:val="20"/>
          <w:szCs w:val="20"/>
          <w:color w:val="auto"/>
        </w:rPr>
      </w:pPr>
    </w:p>
    <w:p>
      <w:pPr>
        <w:ind w:left="1300" w:right="319"/>
        <w:spacing w:after="0" w:line="271" w:lineRule="auto"/>
        <w:rPr>
          <w:sz w:val="20"/>
          <w:szCs w:val="20"/>
          <w:color w:val="auto"/>
        </w:rPr>
      </w:pPr>
      <w:r>
        <w:rPr>
          <w:rFonts w:ascii="Times New Roman" w:cs="Times New Roman" w:eastAsia="Times New Roman" w:hAnsi="Times New Roman"/>
          <w:sz w:val="14"/>
          <w:szCs w:val="14"/>
          <w:color w:val="auto"/>
        </w:rPr>
        <w:t>(and for this purpose “overriding provisions” are provisions the respect for which is regarded as crucial by a jurisdiction for safeguarding its public interests to such an extent that they are applicable to any situation falling within their scope, irrespective of the law otherwise applicable to an agreement);</w:t>
      </w:r>
    </w:p>
    <w:p>
      <w:pPr>
        <w:spacing w:after="0" w:line="59" w:lineRule="exact"/>
        <w:rPr>
          <w:sz w:val="20"/>
          <w:szCs w:val="20"/>
          <w:color w:val="auto"/>
        </w:rPr>
      </w:pPr>
    </w:p>
    <w:p>
      <w:pPr>
        <w:ind w:left="1280" w:right="499" w:hanging="340"/>
        <w:spacing w:after="0" w:line="291" w:lineRule="auto"/>
        <w:tabs>
          <w:tab w:leader="none" w:pos="128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prevent the application of New York Law being refused if it is manifestly incompatible with Dutch public policy (</w:t>
      </w:r>
      <w:r>
        <w:rPr>
          <w:rFonts w:ascii="Times New Roman" w:cs="Times New Roman" w:eastAsia="Times New Roman" w:hAnsi="Times New Roman"/>
          <w:sz w:val="14"/>
          <w:szCs w:val="14"/>
          <w:i w:val="1"/>
          <w:iCs w:val="1"/>
          <w:color w:val="auto"/>
        </w:rPr>
        <w:t>ordre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public</w:t>
      </w:r>
      <w:r>
        <w:rPr>
          <w:rFonts w:ascii="Times New Roman" w:cs="Times New Roman" w:eastAsia="Times New Roman" w:hAnsi="Times New Roman"/>
          <w:sz w:val="14"/>
          <w:szCs w:val="14"/>
          <w:color w:val="auto"/>
        </w:rPr>
        <w:t>); and</w:t>
      </w:r>
    </w:p>
    <w:p>
      <w:pPr>
        <w:spacing w:after="0" w:line="47" w:lineRule="exact"/>
        <w:rPr>
          <w:rFonts w:ascii="Times New Roman" w:cs="Times New Roman" w:eastAsia="Times New Roman" w:hAnsi="Times New Roman"/>
          <w:sz w:val="14"/>
          <w:szCs w:val="14"/>
          <w:color w:val="auto"/>
        </w:rPr>
      </w:pPr>
    </w:p>
    <w:p>
      <w:pPr>
        <w:ind w:left="1280" w:right="699" w:hanging="340"/>
        <w:spacing w:after="0" w:line="288" w:lineRule="auto"/>
        <w:tabs>
          <w:tab w:leader="none" w:pos="128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prevent regard being had to the law of the jurisdiction in which performance takes place in relation to the manner of performance and the steps to be taken in the event of defective performance.</w:t>
      </w:r>
    </w:p>
    <w:p>
      <w:pPr>
        <w:spacing w:after="0" w:line="49" w:lineRule="exact"/>
        <w:rPr>
          <w:rFonts w:ascii="Times New Roman" w:cs="Times New Roman" w:eastAsia="Times New Roman" w:hAnsi="Times New Roman"/>
          <w:sz w:val="14"/>
          <w:szCs w:val="14"/>
          <w:color w:val="auto"/>
        </w:rPr>
      </w:pPr>
    </w:p>
    <w:p>
      <w:pPr>
        <w:ind w:left="920" w:right="199" w:hanging="416"/>
        <w:spacing w:after="0" w:line="288" w:lineRule="auto"/>
        <w:tabs>
          <w:tab w:leader="none" w:pos="9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binding effect and enforceability of the submission to the jurisdiction of the New York Court in the Indenture, including the Guarantee are subject to limited exceptions, including any exceptions applicable under the Brussels I-bis Regulation or the Lugano Convention.</w:t>
      </w:r>
    </w:p>
    <w:p>
      <w:pPr>
        <w:spacing w:after="0" w:line="49" w:lineRule="exact"/>
        <w:rPr>
          <w:rFonts w:ascii="Times New Roman" w:cs="Times New Roman" w:eastAsia="Times New Roman" w:hAnsi="Times New Roman"/>
          <w:sz w:val="14"/>
          <w:szCs w:val="14"/>
          <w:color w:val="auto"/>
        </w:rPr>
      </w:pPr>
    </w:p>
    <w:p>
      <w:pPr>
        <w:ind w:left="920" w:right="219" w:hanging="416"/>
        <w:spacing w:after="0" w:line="288" w:lineRule="auto"/>
        <w:tabs>
          <w:tab w:leader="none" w:pos="9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Enforcement in the Netherlands of the Indenture, including the Guarantee, and the Dutch Issuer Securities is subject to Dutch rules of civil procedure.</w:t>
      </w:r>
    </w:p>
    <w:p>
      <w:pPr>
        <w:spacing w:after="0" w:line="47" w:lineRule="exact"/>
        <w:rPr>
          <w:rFonts w:ascii="Times New Roman" w:cs="Times New Roman" w:eastAsia="Times New Roman" w:hAnsi="Times New Roman"/>
          <w:sz w:val="14"/>
          <w:szCs w:val="14"/>
          <w:color w:val="auto"/>
        </w:rPr>
      </w:pPr>
    </w:p>
    <w:p>
      <w:pPr>
        <w:jc w:val="both"/>
        <w:ind w:left="920" w:right="239" w:hanging="416"/>
        <w:spacing w:after="0" w:line="272" w:lineRule="auto"/>
        <w:tabs>
          <w:tab w:leader="none" w:pos="9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Sanction Act 1977 (</w:t>
      </w:r>
      <w:r>
        <w:rPr>
          <w:rFonts w:ascii="Times New Roman" w:cs="Times New Roman" w:eastAsia="Times New Roman" w:hAnsi="Times New Roman"/>
          <w:sz w:val="14"/>
          <w:szCs w:val="14"/>
          <w:i w:val="1"/>
          <w:iCs w:val="1"/>
          <w:color w:val="auto"/>
        </w:rPr>
        <w:t>Sanctiewet 1977</w:t>
      </w:r>
      <w:r>
        <w:rPr>
          <w:rFonts w:ascii="Times New Roman" w:cs="Times New Roman" w:eastAsia="Times New Roman" w:hAnsi="Times New Roman"/>
          <w:sz w:val="14"/>
          <w:szCs w:val="14"/>
          <w:color w:val="auto"/>
        </w:rPr>
        <w:t>) or international sanctions may affect whether (i) each Company’s entry into and performance of the Indenture, including the Guarantee, and the Dutch Issuer Securities violates Dutch law, and (ii) the Indenture, including the Guarantee, and the Dutch Issuer Securities are valid, binding and enforceable.</w:t>
      </w:r>
    </w:p>
    <w:p>
      <w:pPr>
        <w:spacing w:after="0" w:line="61" w:lineRule="exact"/>
        <w:rPr>
          <w:rFonts w:ascii="Times New Roman" w:cs="Times New Roman" w:eastAsia="Times New Roman" w:hAnsi="Times New Roman"/>
          <w:sz w:val="14"/>
          <w:szCs w:val="14"/>
          <w:color w:val="auto"/>
        </w:rPr>
      </w:pPr>
    </w:p>
    <w:p>
      <w:pPr>
        <w:ind w:left="920" w:right="259" w:hanging="416"/>
        <w:spacing w:after="0" w:line="288" w:lineRule="auto"/>
        <w:tabs>
          <w:tab w:leader="none" w:pos="9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Dutch law applies, any provision that the holder of a Dutch Issuer Security will be treated as its absolute owner may not be enforceable under all circumstances.</w:t>
      </w:r>
    </w:p>
    <w:p>
      <w:pPr>
        <w:spacing w:after="0" w:line="47" w:lineRule="exact"/>
        <w:rPr>
          <w:rFonts w:ascii="Times New Roman" w:cs="Times New Roman" w:eastAsia="Times New Roman" w:hAnsi="Times New Roman"/>
          <w:sz w:val="14"/>
          <w:szCs w:val="14"/>
          <w:color w:val="auto"/>
        </w:rPr>
      </w:pPr>
    </w:p>
    <w:p>
      <w:pPr>
        <w:ind w:left="920" w:right="179" w:hanging="416"/>
        <w:spacing w:after="0" w:line="272" w:lineRule="auto"/>
        <w:tabs>
          <w:tab w:leader="none" w:pos="9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Dutch law applies, title to a Dutch Issuer Security may not pass if (i) the Dutch Issuer Security is not delivered (</w:t>
      </w:r>
      <w:r>
        <w:rPr>
          <w:rFonts w:ascii="Times New Roman" w:cs="Times New Roman" w:eastAsia="Times New Roman" w:hAnsi="Times New Roman"/>
          <w:sz w:val="14"/>
          <w:szCs w:val="14"/>
          <w:i w:val="1"/>
          <w:iCs w:val="1"/>
          <w:color w:val="auto"/>
        </w:rPr>
        <w:t>geleverd</w:t>
      </w:r>
      <w:r>
        <w:rPr>
          <w:rFonts w:ascii="Times New Roman" w:cs="Times New Roman" w:eastAsia="Times New Roman" w:hAnsi="Times New Roman"/>
          <w:sz w:val="14"/>
          <w:szCs w:val="14"/>
          <w:color w:val="auto"/>
        </w:rPr>
        <w:t>) in accordance with Dutch law, (ii) the transferor does not have the power to pass on title (</w:t>
      </w:r>
      <w:r>
        <w:rPr>
          <w:rFonts w:ascii="Times New Roman" w:cs="Times New Roman" w:eastAsia="Times New Roman" w:hAnsi="Times New Roman"/>
          <w:sz w:val="14"/>
          <w:szCs w:val="14"/>
          <w:i w:val="1"/>
          <w:iCs w:val="1"/>
          <w:color w:val="auto"/>
        </w:rPr>
        <w:t>beschikkingsbevoegdheid</w:t>
      </w:r>
      <w:r>
        <w:rPr>
          <w:rFonts w:ascii="Times New Roman" w:cs="Times New Roman" w:eastAsia="Times New Roman" w:hAnsi="Times New Roman"/>
          <w:sz w:val="14"/>
          <w:szCs w:val="14"/>
          <w:color w:val="auto"/>
        </w:rPr>
        <w:t>) to the Dutch Issuer Security, or (iii) the transfer of title is not made pursuant to a valid title of transfer (</w:t>
      </w:r>
      <w:r>
        <w:rPr>
          <w:rFonts w:ascii="Times New Roman" w:cs="Times New Roman" w:eastAsia="Times New Roman" w:hAnsi="Times New Roman"/>
          <w:sz w:val="14"/>
          <w:szCs w:val="14"/>
          <w:i w:val="1"/>
          <w:iCs w:val="1"/>
          <w:color w:val="auto"/>
        </w:rPr>
        <w:t>geldige titel</w:t>
      </w:r>
      <w:r>
        <w:rPr>
          <w:rFonts w:ascii="Times New Roman" w:cs="Times New Roman" w:eastAsia="Times New Roman" w:hAnsi="Times New Roman"/>
          <w:sz w:val="14"/>
          <w:szCs w:val="14"/>
          <w:color w:val="auto"/>
        </w:rPr>
        <w:t>).</w:t>
      </w:r>
    </w:p>
    <w:p>
      <w:pPr>
        <w:spacing w:after="0" w:line="80"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w w:val="96"/>
              </w:rPr>
              <w:t xml:space="preserve">7 </w:t>
            </w:r>
            <w:r>
              <w:rPr>
                <w:rFonts w:ascii="Times New Roman" w:cs="Times New Roman" w:eastAsia="Times New Roman" w:hAnsi="Times New Roman"/>
                <w:sz w:val="14"/>
                <w:szCs w:val="14"/>
                <w:color w:val="auto"/>
                <w:w w:val="96"/>
              </w:rPr>
              <w:t>/ 15</w:t>
            </w:r>
          </w:p>
        </w:tc>
      </w:tr>
    </w:tbl>
    <w:p>
      <w:pPr>
        <w:sectPr>
          <w:pgSz w:w="11900" w:h="16838" w:orient="portrait"/>
          <w:cols w:equalWidth="0" w:num="1">
            <w:col w:w="9019"/>
          </w:cols>
          <w:pgMar w:left="1440" w:top="923" w:right="1440" w:bottom="1440" w:gutter="0" w:footer="0" w:header="0"/>
        </w:sectPr>
      </w:pPr>
    </w:p>
    <w:bookmarkStart w:id="42" w:name="page43"/>
    <w:bookmarkEnd w:id="42"/>
    <w:p>
      <w:pPr>
        <w:ind w:left="5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(h)</w:t>
      </w:r>
    </w:p>
    <w:p>
      <w:pPr>
        <w:spacing w:after="0" w:line="105" w:lineRule="exact"/>
        <w:rPr>
          <w:sz w:val="20"/>
          <w:szCs w:val="20"/>
          <w:color w:val="auto"/>
        </w:rPr>
      </w:pPr>
    </w:p>
    <w:p>
      <w:pPr>
        <w:ind w:left="1280" w:right="259" w:hanging="340"/>
        <w:spacing w:after="0" w:line="260" w:lineRule="auto"/>
        <w:tabs>
          <w:tab w:leader="none" w:pos="12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terms of the Dutch Issuer Securities constitute general conditions within the meaning of article 6:231 BW, a holder of a Dutch Issuer Security may nullify (</w:t>
      </w:r>
      <w:r>
        <w:rPr>
          <w:rFonts w:ascii="Times New Roman" w:cs="Times New Roman" w:eastAsia="Times New Roman" w:hAnsi="Times New Roman"/>
          <w:sz w:val="14"/>
          <w:szCs w:val="14"/>
          <w:i w:val="1"/>
          <w:iCs w:val="1"/>
          <w:color w:val="auto"/>
        </w:rPr>
        <w:t>vernietigen</w:t>
      </w:r>
      <w:r>
        <w:rPr>
          <w:rFonts w:ascii="Times New Roman" w:cs="Times New Roman" w:eastAsia="Times New Roman" w:hAnsi="Times New Roman"/>
          <w:sz w:val="14"/>
          <w:szCs w:val="14"/>
          <w:color w:val="auto"/>
        </w:rPr>
        <w:t>) a provision therein if (A) the Dutch Issuer has not offered the holder a reasonable opportunity to examine the terms and conditions, or (B) the provision, having regard to all relevant circumstances, is unreasonably onerous to the holder. A provision in general conditions as referred to in article 6:236 BW is deemed to be unreasonably onerous, irrespective of the circumstances. If the holder of a Dutch Issuer Security is a natural person not acting in the conduct of a profession or trade.</w:t>
      </w:r>
    </w:p>
    <w:p>
      <w:pPr>
        <w:spacing w:after="0" w:line="70" w:lineRule="exact"/>
        <w:rPr>
          <w:rFonts w:ascii="Times New Roman" w:cs="Times New Roman" w:eastAsia="Times New Roman" w:hAnsi="Times New Roman"/>
          <w:sz w:val="14"/>
          <w:szCs w:val="14"/>
          <w:color w:val="auto"/>
        </w:rPr>
      </w:pPr>
    </w:p>
    <w:p>
      <w:pPr>
        <w:ind w:left="1280" w:right="599" w:hanging="340"/>
        <w:spacing w:after="0" w:line="288" w:lineRule="auto"/>
        <w:tabs>
          <w:tab w:leader="none" w:pos="12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terms of the Guarantee are general conditions within the meaning of article 6:231 BW, paragraph 6(h)(i) applies accordingly in relation to each beneficiary of the Guarantee.</w:t>
      </w:r>
    </w:p>
    <w:p>
      <w:pPr>
        <w:spacing w:after="0" w:line="49" w:lineRule="exact"/>
        <w:rPr>
          <w:rFonts w:ascii="Times New Roman" w:cs="Times New Roman" w:eastAsia="Times New Roman" w:hAnsi="Times New Roman"/>
          <w:sz w:val="14"/>
          <w:szCs w:val="14"/>
          <w:color w:val="auto"/>
        </w:rPr>
      </w:pPr>
    </w:p>
    <w:p>
      <w:pPr>
        <w:ind w:left="920" w:right="279" w:hanging="416"/>
        <w:spacing w:after="0" w:line="265" w:lineRule="auto"/>
        <w:tabs>
          <w:tab w:leader="none" w:pos="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Dutch Issuer Security has been signed on behalf of the Dutch Issuer (manually or in facsimile) by a person who on the signing date is, but ceases to be before the date of the Dutch Issuer Security and its authentication and issue, a duly authorised representative of the Dutch Issuer, enforcement of the Dutch Issuer Security in a Dutch court may require that the holder of the Dutch Issuer Security submit a copy of the Indenture.</w:t>
      </w:r>
    </w:p>
    <w:p>
      <w:pPr>
        <w:spacing w:after="0" w:line="65" w:lineRule="exact"/>
        <w:rPr>
          <w:rFonts w:ascii="Times New Roman" w:cs="Times New Roman" w:eastAsia="Times New Roman" w:hAnsi="Times New Roman"/>
          <w:sz w:val="14"/>
          <w:szCs w:val="14"/>
          <w:color w:val="auto"/>
        </w:rPr>
      </w:pPr>
    </w:p>
    <w:p>
      <w:pPr>
        <w:ind w:left="920" w:right="359" w:hanging="416"/>
        <w:spacing w:after="0" w:line="288" w:lineRule="auto"/>
        <w:tabs>
          <w:tab w:leader="none" w:pos="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 to which the 1985 Convention on the Law applicable to Trusts and their Recognition (the “Trust Convention”) applies, will be recognised subject to the Trust Convention. Any trust to which the Trust Convention does not apply may not be recognised.</w:t>
      </w:r>
    </w:p>
    <w:p>
      <w:pPr>
        <w:spacing w:after="0" w:line="49" w:lineRule="exact"/>
        <w:rPr>
          <w:rFonts w:ascii="Times New Roman" w:cs="Times New Roman" w:eastAsia="Times New Roman" w:hAnsi="Times New Roman"/>
          <w:sz w:val="14"/>
          <w:szCs w:val="14"/>
          <w:color w:val="auto"/>
        </w:rPr>
      </w:pPr>
    </w:p>
    <w:p>
      <w:pPr>
        <w:ind w:left="920" w:right="459" w:hanging="416"/>
        <w:spacing w:after="0" w:line="288" w:lineRule="auto"/>
        <w:tabs>
          <w:tab w:leader="none" w:pos="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proceedings in a Dutch court for the enforcement of the Indenture, including the Guarantee, and the Dutch Issuer Securities, the court may mitigate amounts due in respect of litigation and collection costs.</w:t>
      </w:r>
    </w:p>
    <w:p>
      <w:pPr>
        <w:spacing w:after="0" w:line="47" w:lineRule="exact"/>
        <w:rPr>
          <w:rFonts w:ascii="Times New Roman" w:cs="Times New Roman" w:eastAsia="Times New Roman" w:hAnsi="Times New Roman"/>
          <w:sz w:val="14"/>
          <w:szCs w:val="14"/>
          <w:color w:val="auto"/>
        </w:rPr>
      </w:pPr>
    </w:p>
    <w:p>
      <w:pPr>
        <w:ind w:left="920" w:right="319" w:hanging="416"/>
        <w:spacing w:after="0" w:line="266" w:lineRule="auto"/>
        <w:tabs>
          <w:tab w:leader="none" w:pos="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legal act (</w:t>
      </w:r>
      <w:r>
        <w:rPr>
          <w:rFonts w:ascii="Times New Roman" w:cs="Times New Roman" w:eastAsia="Times New Roman" w:hAnsi="Times New Roman"/>
          <w:sz w:val="14"/>
          <w:szCs w:val="14"/>
          <w:i w:val="1"/>
          <w:iCs w:val="1"/>
          <w:color w:val="auto"/>
        </w:rPr>
        <w:t>rechtshandeling</w:t>
      </w:r>
      <w:r>
        <w:rPr>
          <w:rFonts w:ascii="Times New Roman" w:cs="Times New Roman" w:eastAsia="Times New Roman" w:hAnsi="Times New Roman"/>
          <w:sz w:val="14"/>
          <w:szCs w:val="14"/>
          <w:color w:val="auto"/>
        </w:rPr>
        <w:t>) performed by a Dutch legal entity (including (without limitation) an agreement pursuant to which it guarantees the performance of, or provides or agrees to provide security for, any of another person’s obligations and any other legal act having a similar effect) is not in the entity’s interest, the act may (i) exceed the entity’s corporate or other power, (ii) violate its articles of association,</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w w:val="96"/>
              </w:rPr>
              <w:t xml:space="preserve">8 </w:t>
            </w:r>
            <w:r>
              <w:rPr>
                <w:rFonts w:ascii="Times New Roman" w:cs="Times New Roman" w:eastAsia="Times New Roman" w:hAnsi="Times New Roman"/>
                <w:sz w:val="14"/>
                <w:szCs w:val="14"/>
                <w:color w:val="auto"/>
                <w:w w:val="96"/>
              </w:rPr>
              <w:t>/ 15</w:t>
            </w:r>
          </w:p>
        </w:tc>
      </w:tr>
    </w:tbl>
    <w:p>
      <w:pPr>
        <w:sectPr>
          <w:pgSz w:w="11900" w:h="16838" w:orient="portrait"/>
          <w:cols w:equalWidth="0" w:num="1">
            <w:col w:w="9019"/>
          </w:cols>
          <w:pgMar w:left="1440" w:top="923" w:right="1440" w:bottom="1440" w:gutter="0" w:footer="0" w:header="0"/>
        </w:sectPr>
      </w:pPr>
    </w:p>
    <w:bookmarkStart w:id="43" w:name="page44"/>
    <w:bookmarkEnd w:id="43"/>
    <w:p>
      <w:pPr>
        <w:ind w:left="940" w:right="319"/>
        <w:spacing w:after="0" w:line="28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and (iii) be nullified by it if the other party or parties to the act knew or should have known without investigation that the act is not in the entity’s interest.</w:t>
      </w:r>
    </w:p>
    <w:p>
      <w:pPr>
        <w:spacing w:after="0" w:line="48" w:lineRule="exact"/>
        <w:rPr>
          <w:sz w:val="20"/>
          <w:szCs w:val="20"/>
          <w:color w:val="auto"/>
        </w:rPr>
      </w:pPr>
    </w:p>
    <w:p>
      <w:pPr>
        <w:ind w:left="920" w:right="219" w:hanging="416"/>
        <w:spacing w:after="0" w:line="256" w:lineRule="auto"/>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Dutch law applies, a legal act (</w:t>
      </w:r>
      <w:r>
        <w:rPr>
          <w:rFonts w:ascii="Times New Roman" w:cs="Times New Roman" w:eastAsia="Times New Roman" w:hAnsi="Times New Roman"/>
          <w:sz w:val="14"/>
          <w:szCs w:val="14"/>
          <w:i w:val="1"/>
          <w:iCs w:val="1"/>
          <w:color w:val="auto"/>
        </w:rPr>
        <w:t>rechtshandeling</w:t>
      </w:r>
      <w:r>
        <w:rPr>
          <w:rFonts w:ascii="Times New Roman" w:cs="Times New Roman" w:eastAsia="Times New Roman" w:hAnsi="Times New Roman"/>
          <w:sz w:val="14"/>
          <w:szCs w:val="14"/>
          <w:color w:val="auto"/>
        </w:rPr>
        <w:t>) performed by a person (including an agreement pursuant to which it guarantees the performance of another person’s obligations, or provides or agrees to provide security for its or another person’s obligations and any other legal act having a similar effect) may be nullified by (i) any of its creditors, or (ii), in case of bankruptcy, its bankruptcy trustee, if (A) it performed the act without an obligation to do so (</w:t>
      </w:r>
      <w:r>
        <w:rPr>
          <w:rFonts w:ascii="Times New Roman" w:cs="Times New Roman" w:eastAsia="Times New Roman" w:hAnsi="Times New Roman"/>
          <w:sz w:val="14"/>
          <w:szCs w:val="14"/>
          <w:i w:val="1"/>
          <w:iCs w:val="1"/>
          <w:color w:val="auto"/>
        </w:rPr>
        <w:t>onverplicht</w:t>
      </w:r>
      <w:r>
        <w:rPr>
          <w:rFonts w:ascii="Times New Roman" w:cs="Times New Roman" w:eastAsia="Times New Roman" w:hAnsi="Times New Roman"/>
          <w:sz w:val="14"/>
          <w:szCs w:val="14"/>
          <w:color w:val="auto"/>
        </w:rPr>
        <w:t>), (B) the creditor concerned or, in case of its bankruptcy, any creditor was prejudiced as a consequence of the act, and (C) at the time the act was performed both it and (unless the act was for no consideration (</w:t>
      </w:r>
      <w:r>
        <w:rPr>
          <w:rFonts w:ascii="Times New Roman" w:cs="Times New Roman" w:eastAsia="Times New Roman" w:hAnsi="Times New Roman"/>
          <w:sz w:val="14"/>
          <w:szCs w:val="14"/>
          <w:i w:val="1"/>
          <w:iCs w:val="1"/>
          <w:color w:val="auto"/>
        </w:rPr>
        <w:t>om niet</w:t>
      </w:r>
      <w:r>
        <w:rPr>
          <w:rFonts w:ascii="Times New Roman" w:cs="Times New Roman" w:eastAsia="Times New Roman" w:hAnsi="Times New Roman"/>
          <w:sz w:val="14"/>
          <w:szCs w:val="14"/>
          <w:color w:val="auto"/>
        </w:rPr>
        <w:t>)) the party with or towards which it acted, knew or should have known that one or more of its creditors (existing or future) would be prejudiced. In addition, in the case of a person’s bankruptcy, its bankruptcy trustee may nullify that person’s performance of any due and payable obligation (</w:t>
      </w:r>
      <w:r>
        <w:rPr>
          <w:rFonts w:ascii="Times New Roman" w:cs="Times New Roman" w:eastAsia="Times New Roman" w:hAnsi="Times New Roman"/>
          <w:sz w:val="14"/>
          <w:szCs w:val="14"/>
          <w:i w:val="1"/>
          <w:iCs w:val="1"/>
          <w:color w:val="auto"/>
        </w:rPr>
        <w:t>opeisbare schuld</w:t>
      </w:r>
      <w:r>
        <w:rPr>
          <w:rFonts w:ascii="Times New Roman" w:cs="Times New Roman" w:eastAsia="Times New Roman" w:hAnsi="Times New Roman"/>
          <w:sz w:val="14"/>
          <w:szCs w:val="14"/>
          <w:color w:val="auto"/>
        </w:rPr>
        <w:t>) (including an obligation to provide security for its or another person’s obligations) if</w:t>
      </w:r>
    </w:p>
    <w:p>
      <w:pPr>
        <w:spacing w:after="0" w:line="4" w:lineRule="exact"/>
        <w:rPr>
          <w:rFonts w:ascii="Times New Roman" w:cs="Times New Roman" w:eastAsia="Times New Roman" w:hAnsi="Times New Roman"/>
          <w:sz w:val="14"/>
          <w:szCs w:val="14"/>
          <w:color w:val="auto"/>
        </w:rPr>
      </w:pPr>
    </w:p>
    <w:p>
      <w:pPr>
        <w:ind w:left="920" w:right="25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the recipient knew that a request for bankruptcy had been filed, or (Y) the performance of the obligation was the result of consultation between it and the recipient with a view to give preference to the latter over the person’s creditors.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w:t>
      </w:r>
    </w:p>
    <w:p>
      <w:pPr>
        <w:spacing w:after="0" w:line="105" w:lineRule="exact"/>
        <w:rPr>
          <w:sz w:val="20"/>
          <w:szCs w:val="20"/>
          <w:color w:val="auto"/>
        </w:rPr>
      </w:pPr>
    </w:p>
    <w:p>
      <w:pPr>
        <w:ind w:left="1280" w:right="339" w:hanging="340"/>
        <w:spacing w:after="0" w:line="265" w:lineRule="auto"/>
        <w:tabs>
          <w:tab w:leader="none" w:pos="128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extract from the Trade Register does not provide conclusive evidence that the facts set out in it are correct. However, under the 2007 Trade Register Act (</w:t>
      </w:r>
      <w:r>
        <w:rPr>
          <w:rFonts w:ascii="Times New Roman" w:cs="Times New Roman" w:eastAsia="Times New Roman" w:hAnsi="Times New Roman"/>
          <w:sz w:val="14"/>
          <w:szCs w:val="14"/>
          <w:i w:val="1"/>
          <w:iCs w:val="1"/>
          <w:color w:val="auto"/>
        </w:rPr>
        <w:t>Handelsregisterwet 2007</w:t>
      </w:r>
      <w:r>
        <w:rPr>
          <w:rFonts w:ascii="Times New Roman" w:cs="Times New Roman" w:eastAsia="Times New Roman" w:hAnsi="Times New Roman"/>
          <w:sz w:val="14"/>
          <w:szCs w:val="14"/>
          <w:color w:val="auto"/>
        </w:rPr>
        <w:t>), subject to limited exceptions, a legal entity or partnership cannot invoke the incorrectness or incompleteness of its Trade Register registration against third parties who were unaware of the incorrectness or incompleteness.</w:t>
      </w:r>
    </w:p>
    <w:p>
      <w:pPr>
        <w:spacing w:after="0" w:line="65" w:lineRule="exact"/>
        <w:rPr>
          <w:rFonts w:ascii="Times New Roman" w:cs="Times New Roman" w:eastAsia="Times New Roman" w:hAnsi="Times New Roman"/>
          <w:sz w:val="14"/>
          <w:szCs w:val="14"/>
          <w:color w:val="auto"/>
        </w:rPr>
      </w:pPr>
    </w:p>
    <w:p>
      <w:pPr>
        <w:ind w:left="1280" w:right="379" w:hanging="340"/>
        <w:spacing w:after="0" w:line="288" w:lineRule="auto"/>
        <w:tabs>
          <w:tab w:leader="none" w:pos="128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confirmation from the Central Insolvency Register does not provide conclusive evidence that an entity is not subject to a Dutch Insolvency or foreign Insolvency Proceedings (also because they are not all registered).</w:t>
      </w:r>
    </w:p>
    <w:p>
      <w:pPr>
        <w:spacing w:after="0" w:line="49"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on:</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specific terms of any Dutch Issuer Security (other than any terms set out in the Indenture);</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matters;</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w w:val="96"/>
              </w:rPr>
              <w:t xml:space="preserve">9 </w:t>
            </w:r>
            <w:r>
              <w:rPr>
                <w:rFonts w:ascii="Times New Roman" w:cs="Times New Roman" w:eastAsia="Times New Roman" w:hAnsi="Times New Roman"/>
                <w:sz w:val="14"/>
                <w:szCs w:val="14"/>
                <w:color w:val="auto"/>
                <w:w w:val="96"/>
              </w:rPr>
              <w:t>/ 15</w:t>
            </w:r>
          </w:p>
        </w:tc>
      </w:tr>
    </w:tbl>
    <w:p>
      <w:pPr>
        <w:sectPr>
          <w:pgSz w:w="11900" w:h="16838" w:orient="portrait"/>
          <w:cols w:equalWidth="0" w:num="1">
            <w:col w:w="9019"/>
          </w:cols>
          <w:pgMar w:left="1440" w:top="923" w:right="1440" w:bottom="1440" w:gutter="0" w:footer="0" w:header="0"/>
        </w:sectPr>
      </w:pPr>
    </w:p>
    <w:bookmarkStart w:id="44" w:name="page45"/>
    <w:bookmarkEnd w:id="44"/>
    <w:p>
      <w:pPr>
        <w:ind w:left="1280" w:hanging="340"/>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competition (including state aid) matters;</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assistance;</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sanctions laws;</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rem matters; and</w:t>
      </w:r>
    </w:p>
    <w:p>
      <w:pPr>
        <w:spacing w:after="0" w:line="105" w:lineRule="exact"/>
        <w:rPr>
          <w:rFonts w:ascii="Times New Roman" w:cs="Times New Roman" w:eastAsia="Times New Roman" w:hAnsi="Times New Roman"/>
          <w:sz w:val="14"/>
          <w:szCs w:val="14"/>
          <w:color w:val="auto"/>
        </w:rPr>
      </w:pPr>
    </w:p>
    <w:p>
      <w:pPr>
        <w:ind w:left="1280" w:right="399" w:hanging="340"/>
        <w:spacing w:after="0" w:line="288" w:lineRule="auto"/>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laws that we, having exercised customary professional diligence, could not be reasonably expected to recognize as being applicable to the Registration, the Indenture, including the Guarantee, or the Dutch Issuer Securities to which this opinion relates.</w:t>
      </w:r>
    </w:p>
    <w:p>
      <w:pPr>
        <w:spacing w:after="0" w:line="239" w:lineRule="exact"/>
        <w:rPr>
          <w:sz w:val="20"/>
          <w:szCs w:val="20"/>
          <w:color w:val="auto"/>
        </w:rPr>
      </w:pPr>
    </w:p>
    <w:p>
      <w:pPr>
        <w:ind w:left="500" w:hanging="337"/>
        <w:spacing w:after="0"/>
        <w:tabs>
          <w:tab w:leader="none" w:pos="50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RELIANCE</w:t>
      </w:r>
    </w:p>
    <w:p>
      <w:pPr>
        <w:spacing w:after="0" w:line="107" w:lineRule="exact"/>
        <w:rPr>
          <w:rFonts w:ascii="Times New Roman" w:cs="Times New Roman" w:eastAsia="Times New Roman" w:hAnsi="Times New Roman"/>
          <w:sz w:val="14"/>
          <w:szCs w:val="14"/>
          <w:b w:val="1"/>
          <w:bCs w:val="1"/>
          <w:color w:val="auto"/>
        </w:rPr>
      </w:pPr>
    </w:p>
    <w:p>
      <w:pPr>
        <w:ind w:left="920" w:right="179" w:hanging="416"/>
        <w:spacing w:after="0" w:line="271" w:lineRule="auto"/>
        <w:tabs>
          <w:tab w:leader="none" w:pos="9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an exhibit to the Registration Statement and may be relied upon by Skadden, Arps, Slate, Meagher &amp; Flom LLP for the purpose of the Registration and not for any other purpose. It may not be supplied, and its contents or existence may not be disclosed, to any person other than as an Exhibit to (and therefore together with) the Registration Statement.</w:t>
      </w:r>
    </w:p>
    <w:p>
      <w:pPr>
        <w:spacing w:after="0" w:line="61"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relying on this opinion in doing so agrees that:</w:t>
      </w:r>
    </w:p>
    <w:p>
      <w:pPr>
        <w:spacing w:after="0" w:line="105" w:lineRule="exact"/>
        <w:rPr>
          <w:rFonts w:ascii="Times New Roman" w:cs="Times New Roman" w:eastAsia="Times New Roman" w:hAnsi="Times New Roman"/>
          <w:sz w:val="14"/>
          <w:szCs w:val="14"/>
          <w:color w:val="auto"/>
        </w:rPr>
      </w:pPr>
    </w:p>
    <w:p>
      <w:pPr>
        <w:ind w:left="1280" w:right="599" w:hanging="340"/>
        <w:spacing w:after="0" w:line="288" w:lineRule="auto"/>
        <w:tabs>
          <w:tab w:leader="none" w:pos="1280"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agreements in this paragraph 7, our duty of care and all liability and other matters relating to this opinion will be governed exclusively by Dutch law and the Dutch courts will have exclusive jurisdiction to settle any dispute relating to them;</w:t>
      </w:r>
    </w:p>
    <w:p>
      <w:pPr>
        <w:spacing w:after="0" w:line="49" w:lineRule="exact"/>
        <w:rPr>
          <w:rFonts w:ascii="Times New Roman" w:cs="Times New Roman" w:eastAsia="Times New Roman" w:hAnsi="Times New Roman"/>
          <w:sz w:val="14"/>
          <w:szCs w:val="14"/>
          <w:color w:val="auto"/>
        </w:rPr>
      </w:pPr>
    </w:p>
    <w:p>
      <w:pPr>
        <w:ind w:left="1280" w:right="599" w:hanging="340"/>
        <w:spacing w:after="0" w:line="288" w:lineRule="auto"/>
        <w:tabs>
          <w:tab w:leader="none" w:pos="1280"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we, De Brauw, (and not any other person, including any person working at or affiliated with us) will have any liability in connection with this opinion;</w:t>
      </w:r>
    </w:p>
    <w:p>
      <w:pPr>
        <w:spacing w:after="0" w:line="49" w:lineRule="exact"/>
        <w:rPr>
          <w:rFonts w:ascii="Times New Roman" w:cs="Times New Roman" w:eastAsia="Times New Roman" w:hAnsi="Times New Roman"/>
          <w:sz w:val="14"/>
          <w:szCs w:val="14"/>
          <w:color w:val="auto"/>
        </w:rPr>
      </w:pPr>
    </w:p>
    <w:p>
      <w:pPr>
        <w:ind w:left="1280" w:right="219" w:hanging="340"/>
        <w:spacing w:after="0" w:line="288" w:lineRule="auto"/>
        <w:tabs>
          <w:tab w:leader="none" w:pos="1280"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liability in connection with this opinion is limited to the amount that is paid out in the specific case under our insurance, plus the applicable deductible; and</w:t>
      </w:r>
    </w:p>
    <w:p>
      <w:pPr>
        <w:spacing w:after="0" w:line="49"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agreements in this paragraph 7 apply in addition to, and do not set aside, our General terms and conditions.</w:t>
      </w:r>
    </w:p>
    <w:p>
      <w:pPr>
        <w:spacing w:after="0" w:line="105"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Dutch Issuer may:</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this opinion as an exhibit to the Registration Statement; and</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12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w w:val="94"/>
              </w:rPr>
              <w:t xml:space="preserve">10 </w:t>
            </w:r>
            <w:r>
              <w:rPr>
                <w:rFonts w:ascii="Times New Roman" w:cs="Times New Roman" w:eastAsia="Times New Roman" w:hAnsi="Times New Roman"/>
                <w:sz w:val="14"/>
                <w:szCs w:val="14"/>
                <w:color w:val="auto"/>
                <w:w w:val="94"/>
              </w:rPr>
              <w:t>/ 15</w:t>
            </w:r>
          </w:p>
        </w:tc>
      </w:tr>
    </w:tbl>
    <w:p>
      <w:pPr>
        <w:sectPr>
          <w:pgSz w:w="11900" w:h="16838" w:orient="portrait"/>
          <w:cols w:equalWidth="0" w:num="1">
            <w:col w:w="9019"/>
          </w:cols>
          <w:pgMar w:left="1440" w:top="923" w:right="1440" w:bottom="1440" w:gutter="0" w:footer="0" w:header="0"/>
        </w:sectPr>
      </w:pPr>
    </w:p>
    <w:bookmarkStart w:id="45" w:name="page46"/>
    <w:bookmarkEnd w:id="45"/>
    <w:p>
      <w:pPr>
        <w:ind w:left="1280" w:right="259" w:hanging="340"/>
        <w:spacing w:after="0" w:line="288" w:lineRule="auto"/>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refer to De Brauw giving this opinion under the heading “5.2 Opinion of De Brauw Blackstone Westbroek N.V.” in the Registration Statement.</w:t>
      </w:r>
    </w:p>
    <w:p>
      <w:pPr>
        <w:spacing w:after="0" w:line="39" w:lineRule="exact"/>
        <w:rPr>
          <w:sz w:val="20"/>
          <w:szCs w:val="20"/>
          <w:color w:val="auto"/>
        </w:rPr>
      </w:pPr>
    </w:p>
    <w:p>
      <w:pPr>
        <w:ind w:left="940" w:right="219"/>
        <w:spacing w:after="0" w:line="288" w:lineRule="auto"/>
        <w:rPr>
          <w:sz w:val="20"/>
          <w:szCs w:val="20"/>
          <w:color w:val="auto"/>
        </w:rPr>
      </w:pPr>
      <w:r>
        <w:rPr>
          <w:rFonts w:ascii="Times New Roman" w:cs="Times New Roman" w:eastAsia="Times New Roman" w:hAnsi="Times New Roman"/>
          <w:sz w:val="14"/>
          <w:szCs w:val="14"/>
          <w:color w:val="auto"/>
        </w:rPr>
        <w:t>The previous sentence is no admittance from us that we are in the category of persons whose consent for the filing and reference as set out in that sentence is required under article 7 of the Securities Act or any rules or regulations of the SEC promulgated under it.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12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w w:val="94"/>
              </w:rPr>
              <w:t xml:space="preserve">11 </w:t>
            </w:r>
            <w:r>
              <w:rPr>
                <w:rFonts w:ascii="Times New Roman" w:cs="Times New Roman" w:eastAsia="Times New Roman" w:hAnsi="Times New Roman"/>
                <w:sz w:val="14"/>
                <w:szCs w:val="14"/>
                <w:color w:val="auto"/>
                <w:w w:val="94"/>
              </w:rPr>
              <w:t>/ 15</w:t>
            </w:r>
          </w:p>
        </w:tc>
      </w:tr>
    </w:tbl>
    <w:p>
      <w:pPr>
        <w:sectPr>
          <w:pgSz w:w="11900" w:h="16838" w:orient="portrait"/>
          <w:cols w:equalWidth="0" w:num="1">
            <w:col w:w="9019"/>
          </w:cols>
          <w:pgMar w:left="1440" w:top="923" w:right="1440" w:bottom="1440" w:gutter="0" w:footer="0" w:header="0"/>
        </w:sectPr>
      </w:pPr>
    </w:p>
    <w:bookmarkStart w:id="46" w:name="page47"/>
    <w:bookmarkEnd w:id="46"/>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Yours faithfully,</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 Brauw Blackstone Westbroek N.V.</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/s/Bas Boutellier</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Bas Boutellier</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Advocaat</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12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w w:val="94"/>
              </w:rPr>
              <w:t xml:space="preserve">12 </w:t>
            </w:r>
            <w:r>
              <w:rPr>
                <w:rFonts w:ascii="Times New Roman" w:cs="Times New Roman" w:eastAsia="Times New Roman" w:hAnsi="Times New Roman"/>
                <w:sz w:val="14"/>
                <w:szCs w:val="14"/>
                <w:color w:val="auto"/>
                <w:w w:val="94"/>
              </w:rPr>
              <w:t>/ 15</w:t>
            </w:r>
          </w:p>
        </w:tc>
      </w:tr>
    </w:tbl>
    <w:p>
      <w:pPr>
        <w:sectPr>
          <w:pgSz w:w="11900" w:h="16838" w:orient="portrait"/>
          <w:cols w:equalWidth="0" w:num="1">
            <w:col w:w="9019"/>
          </w:cols>
          <w:pgMar w:left="1440" w:top="901"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Annex 1 – Definitions</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 this opinion:</w:t>
      </w:r>
    </w:p>
    <w:p>
      <w:pPr>
        <w:spacing w:after="0" w:line="92" w:lineRule="exact"/>
        <w:rPr>
          <w:sz w:val="20"/>
          <w:szCs w:val="20"/>
          <w:color w:val="auto"/>
        </w:rPr>
      </w:pPr>
    </w:p>
    <w:p>
      <w:pPr>
        <w:ind w:left="160" w:right="179"/>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Brussels I-bis Regulation</w:t>
      </w:r>
      <w:r>
        <w:rPr>
          <w:rFonts w:ascii="Times New Roman" w:cs="Times New Roman" w:eastAsia="Times New Roman" w:hAnsi="Times New Roman"/>
          <w:sz w:val="14"/>
          <w:szCs w:val="14"/>
          <w:color w:val="auto"/>
        </w:rPr>
        <w:t>” means Regulation (EU) No 1215/2012 of the European Parliament and of the Council of 12 December 2012 on jurisdiction and the recognition and enforcement of judgments in civil and commercial matters (recast).</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Companies</w:t>
      </w:r>
      <w:r>
        <w:rPr>
          <w:rFonts w:ascii="Times New Roman" w:cs="Times New Roman" w:eastAsia="Times New Roman" w:hAnsi="Times New Roman"/>
          <w:sz w:val="14"/>
          <w:szCs w:val="14"/>
          <w:color w:val="auto"/>
        </w:rPr>
        <w:t>” means the Dutch Issuer and the Guarantor.</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 Brauw</w:t>
      </w:r>
      <w:r>
        <w:rPr>
          <w:rFonts w:ascii="Times New Roman" w:cs="Times New Roman" w:eastAsia="Times New Roman" w:hAnsi="Times New Roman"/>
          <w:sz w:val="14"/>
          <w:szCs w:val="14"/>
          <w:color w:val="auto"/>
        </w:rPr>
        <w:t>” means De Brauw Blackstone Westbroek N.V.</w:t>
      </w:r>
    </w:p>
    <w:p>
      <w:pPr>
        <w:spacing w:after="0" w:line="179" w:lineRule="exact"/>
        <w:rPr>
          <w:sz w:val="20"/>
          <w:szCs w:val="20"/>
          <w:color w:val="auto"/>
        </w:rPr>
      </w:pPr>
    </w:p>
    <w:p>
      <w:pPr>
        <w:ind w:left="160" w:right="819"/>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Dutch Insolvency</w:t>
      </w:r>
      <w:r>
        <w:rPr>
          <w:rFonts w:ascii="Times New Roman" w:cs="Times New Roman" w:eastAsia="Times New Roman" w:hAnsi="Times New Roman"/>
          <w:sz w:val="14"/>
          <w:szCs w:val="14"/>
          <w:color w:val="auto"/>
        </w:rPr>
        <w:t>” means bankruptcy (</w:t>
      </w:r>
      <w:r>
        <w:rPr>
          <w:rFonts w:ascii="Times New Roman" w:cs="Times New Roman" w:eastAsia="Times New Roman" w:hAnsi="Times New Roman"/>
          <w:sz w:val="14"/>
          <w:szCs w:val="14"/>
          <w:i w:val="1"/>
          <w:iCs w:val="1"/>
          <w:color w:val="auto"/>
        </w:rPr>
        <w:t>faillissement</w:t>
      </w:r>
      <w:r>
        <w:rPr>
          <w:rFonts w:ascii="Times New Roman" w:cs="Times New Roman" w:eastAsia="Times New Roman" w:hAnsi="Times New Roman"/>
          <w:sz w:val="14"/>
          <w:szCs w:val="14"/>
          <w:color w:val="auto"/>
        </w:rPr>
        <w:t>), suspension of payments (</w:t>
      </w:r>
      <w:r>
        <w:rPr>
          <w:rFonts w:ascii="Times New Roman" w:cs="Times New Roman" w:eastAsia="Times New Roman" w:hAnsi="Times New Roman"/>
          <w:sz w:val="14"/>
          <w:szCs w:val="14"/>
          <w:i w:val="1"/>
          <w:iCs w:val="1"/>
          <w:color w:val="auto"/>
        </w:rPr>
        <w:t>surseance van betaling</w:t>
      </w:r>
      <w:r>
        <w:rPr>
          <w:rFonts w:ascii="Times New Roman" w:cs="Times New Roman" w:eastAsia="Times New Roman" w:hAnsi="Times New Roman"/>
          <w:sz w:val="14"/>
          <w:szCs w:val="14"/>
          <w:color w:val="auto"/>
        </w:rPr>
        <w:t>) or restructuring proceedings outside bankruptcy (</w:t>
      </w:r>
      <w:r>
        <w:rPr>
          <w:rFonts w:ascii="Times New Roman" w:cs="Times New Roman" w:eastAsia="Times New Roman" w:hAnsi="Times New Roman"/>
          <w:sz w:val="14"/>
          <w:szCs w:val="14"/>
          <w:i w:val="1"/>
          <w:iCs w:val="1"/>
          <w:color w:val="auto"/>
        </w:rPr>
        <w:t>akkoordprocedures buiten faillissement</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Dutch Issuer</w:t>
      </w:r>
      <w:r>
        <w:rPr>
          <w:rFonts w:ascii="Times New Roman" w:cs="Times New Roman" w:eastAsia="Times New Roman" w:hAnsi="Times New Roman"/>
          <w:sz w:val="14"/>
          <w:szCs w:val="14"/>
          <w:color w:val="auto"/>
        </w:rPr>
        <w:t>” means NXP B.V., with seat in Eindhoven, the Netherlands, Trade Register number 17070622, and in relation to this Company:</w:t>
      </w:r>
    </w:p>
    <w:p>
      <w:pPr>
        <w:spacing w:after="0" w:line="105" w:lineRule="exact"/>
        <w:rPr>
          <w:sz w:val="20"/>
          <w:szCs w:val="20"/>
          <w:color w:val="auto"/>
        </w:rPr>
      </w:pPr>
    </w:p>
    <w:p>
      <w:pPr>
        <w:ind w:left="500" w:hanging="337"/>
        <w:spacing w:after="0"/>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 Certificate</w:t>
      </w:r>
      <w:r>
        <w:rPr>
          <w:rFonts w:ascii="Times New Roman" w:cs="Times New Roman" w:eastAsia="Times New Roman" w:hAnsi="Times New Roman"/>
          <w:sz w:val="14"/>
          <w:szCs w:val="14"/>
          <w:color w:val="auto"/>
        </w:rPr>
        <w:t>” means the certificate relating to the Dutch Issuer dated the date of this opinion.</w:t>
      </w:r>
    </w:p>
    <w:p>
      <w:pPr>
        <w:spacing w:after="0" w:line="10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 Resolutions</w:t>
      </w:r>
      <w:r>
        <w:rPr>
          <w:rFonts w:ascii="Times New Roman" w:cs="Times New Roman" w:eastAsia="Times New Roman" w:hAnsi="Times New Roman"/>
          <w:sz w:val="14"/>
          <w:szCs w:val="14"/>
          <w:color w:val="auto"/>
        </w:rPr>
        <w:t>” means each of the following:</w:t>
      </w:r>
    </w:p>
    <w:p>
      <w:pPr>
        <w:spacing w:after="0" w:line="105" w:lineRule="exact"/>
        <w:rPr>
          <w:rFonts w:ascii="Times New Roman" w:cs="Times New Roman" w:eastAsia="Times New Roman" w:hAnsi="Times New Roman"/>
          <w:sz w:val="14"/>
          <w:szCs w:val="14"/>
          <w:color w:val="auto"/>
        </w:rPr>
      </w:pPr>
    </w:p>
    <w:p>
      <w:pPr>
        <w:ind w:left="920" w:right="279" w:hanging="416"/>
        <w:spacing w:after="0" w:line="291" w:lineRule="auto"/>
        <w:tabs>
          <w:tab w:leader="none" w:pos="9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resolution of its board (</w:t>
      </w:r>
      <w:r>
        <w:rPr>
          <w:rFonts w:ascii="Times New Roman" w:cs="Times New Roman" w:eastAsia="Times New Roman" w:hAnsi="Times New Roman"/>
          <w:sz w:val="14"/>
          <w:szCs w:val="14"/>
          <w:i w:val="1"/>
          <w:iCs w:val="1"/>
          <w:color w:val="auto"/>
        </w:rPr>
        <w:t>bestuur</w:t>
      </w:r>
      <w:r>
        <w:rPr>
          <w:rFonts w:ascii="Times New Roman" w:cs="Times New Roman" w:eastAsia="Times New Roman" w:hAnsi="Times New Roman"/>
          <w:sz w:val="14"/>
          <w:szCs w:val="14"/>
          <w:color w:val="auto"/>
        </w:rPr>
        <w:t>) including a power of attorney granted by it to each of William Betz, Jennifer Wuamett, Timothy Shelhamer and Luc de Dobbeleer and each member of its management board individually and dated 18 March 2022;</w:t>
      </w:r>
    </w:p>
    <w:p>
      <w:pPr>
        <w:spacing w:after="0" w:line="45" w:lineRule="exact"/>
        <w:rPr>
          <w:rFonts w:ascii="Times New Roman" w:cs="Times New Roman" w:eastAsia="Times New Roman" w:hAnsi="Times New Roman"/>
          <w:sz w:val="14"/>
          <w:szCs w:val="14"/>
          <w:color w:val="auto"/>
        </w:rPr>
      </w:pPr>
    </w:p>
    <w:p>
      <w:pPr>
        <w:ind w:left="920" w:right="279" w:hanging="416"/>
        <w:spacing w:after="0" w:line="291" w:lineRule="auto"/>
        <w:tabs>
          <w:tab w:leader="none" w:pos="9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resolution of its board (</w:t>
      </w:r>
      <w:r>
        <w:rPr>
          <w:rFonts w:ascii="Times New Roman" w:cs="Times New Roman" w:eastAsia="Times New Roman" w:hAnsi="Times New Roman"/>
          <w:sz w:val="14"/>
          <w:szCs w:val="14"/>
          <w:i w:val="1"/>
          <w:iCs w:val="1"/>
          <w:color w:val="auto"/>
        </w:rPr>
        <w:t>bestuur</w:t>
      </w:r>
      <w:r>
        <w:rPr>
          <w:rFonts w:ascii="Times New Roman" w:cs="Times New Roman" w:eastAsia="Times New Roman" w:hAnsi="Times New Roman"/>
          <w:sz w:val="14"/>
          <w:szCs w:val="14"/>
          <w:color w:val="auto"/>
        </w:rPr>
        <w:t>) including a power of attorney granted by it to each of William Betz, Jennifer Wuamett, Timothy Shelhamer and each member of its management board individually and dated 13 May 2022; and</w:t>
      </w:r>
    </w:p>
    <w:p>
      <w:pPr>
        <w:spacing w:after="0" w:line="45" w:lineRule="exact"/>
        <w:rPr>
          <w:rFonts w:ascii="Times New Roman" w:cs="Times New Roman" w:eastAsia="Times New Roman" w:hAnsi="Times New Roman"/>
          <w:sz w:val="14"/>
          <w:szCs w:val="14"/>
          <w:color w:val="auto"/>
        </w:rPr>
      </w:pPr>
    </w:p>
    <w:p>
      <w:pPr>
        <w:ind w:left="920" w:right="299" w:hanging="416"/>
        <w:spacing w:after="0" w:line="291" w:lineRule="auto"/>
        <w:tabs>
          <w:tab w:leader="none" w:pos="9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resolution of its board (</w:t>
      </w:r>
      <w:r>
        <w:rPr>
          <w:rFonts w:ascii="Times New Roman" w:cs="Times New Roman" w:eastAsia="Times New Roman" w:hAnsi="Times New Roman"/>
          <w:sz w:val="14"/>
          <w:szCs w:val="14"/>
          <w:i w:val="1"/>
          <w:iCs w:val="1"/>
          <w:color w:val="auto"/>
        </w:rPr>
        <w:t>bestuur</w:t>
      </w:r>
      <w:r>
        <w:rPr>
          <w:rFonts w:ascii="Times New Roman" w:cs="Times New Roman" w:eastAsia="Times New Roman" w:hAnsi="Times New Roman"/>
          <w:sz w:val="14"/>
          <w:szCs w:val="14"/>
          <w:color w:val="auto"/>
        </w:rPr>
        <w:t>) including a power of attorney granted by it to each of Jennifer Wuamett and each member of its management board individually and dated 29 July 2025.</w:t>
      </w:r>
    </w:p>
    <w:p>
      <w:pPr>
        <w:spacing w:after="0" w:line="4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Trade Register Extract</w:t>
      </w:r>
      <w:r>
        <w:rPr>
          <w:rFonts w:ascii="Times New Roman" w:cs="Times New Roman" w:eastAsia="Times New Roman" w:hAnsi="Times New Roman"/>
          <w:sz w:val="14"/>
          <w:szCs w:val="14"/>
          <w:color w:val="auto"/>
        </w:rPr>
        <w:t>” means a Trade Register extract relating to it provided by the Chamber of Commerce and dated 8 August 2025.</w:t>
      </w:r>
    </w:p>
    <w:p>
      <w:pPr>
        <w:spacing w:after="0" w:line="179" w:lineRule="exact"/>
        <w:rPr>
          <w:sz w:val="20"/>
          <w:szCs w:val="20"/>
          <w:color w:val="auto"/>
        </w:rPr>
      </w:pPr>
    </w:p>
    <w:p>
      <w:pPr>
        <w:ind w:left="160" w:right="199"/>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Dutch Issuer Securities</w:t>
      </w:r>
      <w:r>
        <w:rPr>
          <w:rFonts w:ascii="Times New Roman" w:cs="Times New Roman" w:eastAsia="Times New Roman" w:hAnsi="Times New Roman"/>
          <w:sz w:val="14"/>
          <w:szCs w:val="14"/>
          <w:color w:val="auto"/>
        </w:rPr>
        <w:t>” means any Securities issued by the Dutch Issuer and includes, in relation to an issue of Dutch Issuer Securities and where the context permits, the Indenture.</w:t>
      </w:r>
    </w:p>
    <w:p>
      <w:pPr>
        <w:spacing w:after="0" w:line="67"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12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w w:val="94"/>
              </w:rPr>
              <w:t xml:space="preserve">13 </w:t>
            </w:r>
            <w:r>
              <w:rPr>
                <w:rFonts w:ascii="Times New Roman" w:cs="Times New Roman" w:eastAsia="Times New Roman" w:hAnsi="Times New Roman"/>
                <w:sz w:val="14"/>
                <w:szCs w:val="14"/>
                <w:color w:val="auto"/>
                <w:w w:val="94"/>
              </w:rPr>
              <w:t>/ 15</w:t>
            </w:r>
          </w:p>
        </w:tc>
      </w:tr>
    </w:tbl>
    <w:p>
      <w:pPr>
        <w:sectPr>
          <w:pgSz w:w="11900" w:h="16838" w:orient="portrait"/>
          <w:cols w:equalWidth="0" w:num="1">
            <w:col w:w="9019"/>
          </w:cols>
          <w:pgMar w:left="1440" w:top="899" w:right="1440" w:bottom="1440" w:gutter="0" w:footer="0" w:header="0"/>
        </w:sectPr>
      </w:pPr>
    </w:p>
    <w:bookmarkStart w:id="48" w:name="page49"/>
    <w:bookmarkEnd w:id="48"/>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Dutch law</w:t>
      </w:r>
      <w:r>
        <w:rPr>
          <w:rFonts w:ascii="Times New Roman" w:cs="Times New Roman" w:eastAsia="Times New Roman" w:hAnsi="Times New Roman"/>
          <w:sz w:val="14"/>
          <w:szCs w:val="14"/>
          <w:color w:val="auto"/>
        </w:rPr>
        <w:t>” means the national law of the Netherlands and European Union and international law to the extent directly applicable in the Netherlands.</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Issuers</w:t>
      </w:r>
      <w:r>
        <w:rPr>
          <w:rFonts w:ascii="Times New Roman" w:cs="Times New Roman" w:eastAsia="Times New Roman" w:hAnsi="Times New Roman"/>
          <w:sz w:val="14"/>
          <w:szCs w:val="14"/>
          <w:color w:val="auto"/>
        </w:rPr>
        <w:t>” means each of:</w:t>
      </w:r>
    </w:p>
    <w:p>
      <w:pPr>
        <w:spacing w:after="0" w:line="107" w:lineRule="exact"/>
        <w:rPr>
          <w:sz w:val="20"/>
          <w:szCs w:val="20"/>
          <w:color w:val="auto"/>
        </w:rPr>
      </w:pPr>
    </w:p>
    <w:p>
      <w:pPr>
        <w:ind w:left="500" w:hanging="337"/>
        <w:spacing w:after="0"/>
        <w:tabs>
          <w:tab w:leader="none" w:pos="5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NXP Funding LLC, with seat in Wilmington, Delaware, USA; and</w:t>
      </w:r>
    </w:p>
    <w:p>
      <w:pPr>
        <w:spacing w:after="0" w:line="10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NXP USA, Inc., with seat in Wilmington, Delaware, USA.</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Guarantee</w:t>
      </w:r>
      <w:r>
        <w:rPr>
          <w:rFonts w:ascii="Times New Roman" w:cs="Times New Roman" w:eastAsia="Times New Roman" w:hAnsi="Times New Roman"/>
          <w:sz w:val="14"/>
          <w:szCs w:val="14"/>
          <w:color w:val="auto"/>
        </w:rPr>
        <w:t>” means the guarantee as included in the Indenture.</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 means NXP Semiconductors N.V., with seat in Eindhoven, the Netherlands, Trade Register number 34253298, and in relation to this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Company:</w:t>
      </w:r>
    </w:p>
    <w:p>
      <w:pPr>
        <w:spacing w:after="0" w:line="89" w:lineRule="exact"/>
        <w:rPr>
          <w:sz w:val="20"/>
          <w:szCs w:val="20"/>
          <w:color w:val="auto"/>
        </w:rPr>
      </w:pPr>
    </w:p>
    <w:p>
      <w:pPr>
        <w:ind w:left="500" w:hanging="337"/>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 Certificate</w:t>
      </w:r>
      <w:r>
        <w:rPr>
          <w:rFonts w:ascii="Times New Roman" w:cs="Times New Roman" w:eastAsia="Times New Roman" w:hAnsi="Times New Roman"/>
          <w:sz w:val="14"/>
          <w:szCs w:val="14"/>
          <w:color w:val="auto"/>
        </w:rPr>
        <w:t>” means the certificate relating to the Dutch Issuer dated the date of this opinion.</w:t>
      </w:r>
    </w:p>
    <w:p>
      <w:pPr>
        <w:spacing w:after="0" w:line="10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 Regulations</w:t>
      </w:r>
      <w:r>
        <w:rPr>
          <w:rFonts w:ascii="Times New Roman" w:cs="Times New Roman" w:eastAsia="Times New Roman" w:hAnsi="Times New Roman"/>
          <w:sz w:val="14"/>
          <w:szCs w:val="14"/>
          <w:color w:val="auto"/>
        </w:rPr>
        <w:t>” means the rules governing the board of the Guarantor dated November 2023.</w:t>
      </w:r>
    </w:p>
    <w:p>
      <w:pPr>
        <w:spacing w:after="0" w:line="10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 Resolutions</w:t>
      </w:r>
      <w:r>
        <w:rPr>
          <w:rFonts w:ascii="Times New Roman" w:cs="Times New Roman" w:eastAsia="Times New Roman" w:hAnsi="Times New Roman"/>
          <w:sz w:val="14"/>
          <w:szCs w:val="14"/>
          <w:color w:val="auto"/>
        </w:rPr>
        <w:t>” means each of the following:</w:t>
      </w:r>
    </w:p>
    <w:p>
      <w:pPr>
        <w:spacing w:after="0" w:line="105" w:lineRule="exact"/>
        <w:rPr>
          <w:rFonts w:ascii="Times New Roman" w:cs="Times New Roman" w:eastAsia="Times New Roman" w:hAnsi="Times New Roman"/>
          <w:sz w:val="14"/>
          <w:szCs w:val="14"/>
          <w:color w:val="auto"/>
        </w:rPr>
      </w:pPr>
    </w:p>
    <w:p>
      <w:pPr>
        <w:ind w:left="920" w:right="279" w:hanging="416"/>
        <w:spacing w:after="0" w:line="291" w:lineRule="auto"/>
        <w:tabs>
          <w:tab w:leader="none" w:pos="9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resolution of its board (</w:t>
      </w:r>
      <w:r>
        <w:rPr>
          <w:rFonts w:ascii="Times New Roman" w:cs="Times New Roman" w:eastAsia="Times New Roman" w:hAnsi="Times New Roman"/>
          <w:sz w:val="14"/>
          <w:szCs w:val="14"/>
          <w:i w:val="1"/>
          <w:iCs w:val="1"/>
          <w:color w:val="auto"/>
        </w:rPr>
        <w:t>bestuur</w:t>
      </w:r>
      <w:r>
        <w:rPr>
          <w:rFonts w:ascii="Times New Roman" w:cs="Times New Roman" w:eastAsia="Times New Roman" w:hAnsi="Times New Roman"/>
          <w:sz w:val="14"/>
          <w:szCs w:val="14"/>
          <w:color w:val="auto"/>
        </w:rPr>
        <w:t>) including a power of attorney granted by it to each of William Betz, Jennifer Wuamett, Timothy Shelhamer and Luc de Dobbeleer dated 18 March 2022, adopted by the managing directors via Boardvantage or via email;</w:t>
      </w:r>
    </w:p>
    <w:p>
      <w:pPr>
        <w:spacing w:after="0" w:line="45" w:lineRule="exact"/>
        <w:rPr>
          <w:rFonts w:ascii="Times New Roman" w:cs="Times New Roman" w:eastAsia="Times New Roman" w:hAnsi="Times New Roman"/>
          <w:sz w:val="14"/>
          <w:szCs w:val="14"/>
          <w:color w:val="auto"/>
        </w:rPr>
      </w:pPr>
    </w:p>
    <w:p>
      <w:pPr>
        <w:ind w:left="920" w:right="279" w:hanging="416"/>
        <w:spacing w:after="0" w:line="291" w:lineRule="auto"/>
        <w:tabs>
          <w:tab w:leader="none" w:pos="9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resolution of its board (</w:t>
      </w:r>
      <w:r>
        <w:rPr>
          <w:rFonts w:ascii="Times New Roman" w:cs="Times New Roman" w:eastAsia="Times New Roman" w:hAnsi="Times New Roman"/>
          <w:sz w:val="14"/>
          <w:szCs w:val="14"/>
          <w:i w:val="1"/>
          <w:iCs w:val="1"/>
          <w:color w:val="auto"/>
        </w:rPr>
        <w:t>bestuur</w:t>
      </w:r>
      <w:r>
        <w:rPr>
          <w:rFonts w:ascii="Times New Roman" w:cs="Times New Roman" w:eastAsia="Times New Roman" w:hAnsi="Times New Roman"/>
          <w:sz w:val="14"/>
          <w:szCs w:val="14"/>
          <w:color w:val="auto"/>
        </w:rPr>
        <w:t>) including a power of attorney granted by it to each of William Betz, Jennifer Wuamett, Timothy Shelhamer and Luc de Dobbeleer dated 6 May 2022, adopted by the managing directors via Boardvantage or via email; and</w:t>
      </w:r>
    </w:p>
    <w:p>
      <w:pPr>
        <w:spacing w:after="0" w:line="45" w:lineRule="exact"/>
        <w:rPr>
          <w:rFonts w:ascii="Times New Roman" w:cs="Times New Roman" w:eastAsia="Times New Roman" w:hAnsi="Times New Roman"/>
          <w:sz w:val="14"/>
          <w:szCs w:val="14"/>
          <w:color w:val="auto"/>
        </w:rPr>
      </w:pPr>
    </w:p>
    <w:p>
      <w:pPr>
        <w:ind w:left="920" w:right="319" w:hanging="416"/>
        <w:spacing w:after="0" w:line="291" w:lineRule="auto"/>
        <w:tabs>
          <w:tab w:leader="none" w:pos="9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resolution of its board (</w:t>
      </w:r>
      <w:r>
        <w:rPr>
          <w:rFonts w:ascii="Times New Roman" w:cs="Times New Roman" w:eastAsia="Times New Roman" w:hAnsi="Times New Roman"/>
          <w:sz w:val="14"/>
          <w:szCs w:val="14"/>
          <w:i w:val="1"/>
          <w:iCs w:val="1"/>
          <w:color w:val="auto"/>
        </w:rPr>
        <w:t>bestuur</w:t>
      </w:r>
      <w:r>
        <w:rPr>
          <w:rFonts w:ascii="Times New Roman" w:cs="Times New Roman" w:eastAsia="Times New Roman" w:hAnsi="Times New Roman"/>
          <w:sz w:val="14"/>
          <w:szCs w:val="14"/>
          <w:color w:val="auto"/>
        </w:rPr>
        <w:t>) including a power of attorney granted by it to each of Jennifer Wuamett, Luc de Dobbeleer and Timothy Shelhamer dated 30 July 2025, adopted by the managing directors via Boardvantage or via email.</w:t>
      </w:r>
    </w:p>
    <w:p>
      <w:pPr>
        <w:spacing w:after="0" w:line="4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Trade Register Extract</w:t>
      </w:r>
      <w:r>
        <w:rPr>
          <w:rFonts w:ascii="Times New Roman" w:cs="Times New Roman" w:eastAsia="Times New Roman" w:hAnsi="Times New Roman"/>
          <w:sz w:val="14"/>
          <w:szCs w:val="14"/>
          <w:color w:val="auto"/>
        </w:rPr>
        <w:t>” means a Trade Register extract relating to it provided by the Chamber of Commerce and dated 8 August 2025.</w:t>
      </w:r>
    </w:p>
    <w:p>
      <w:pPr>
        <w:spacing w:after="0" w:line="179" w:lineRule="exact"/>
        <w:rPr>
          <w:sz w:val="20"/>
          <w:szCs w:val="20"/>
          <w:color w:val="auto"/>
        </w:rPr>
      </w:pPr>
    </w:p>
    <w:p>
      <w:pPr>
        <w:ind w:left="160" w:right="279"/>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means the indenture for debt securities dated 16 May 2022 filed as exhibit 4.1 to the Registration Statement between the Dutch Issuer, the Foreign Issuers, the Guarantor and Deutsche Bank Trust Company Americas as trustee.</w:t>
      </w:r>
    </w:p>
    <w:p>
      <w:pPr>
        <w:spacing w:after="0" w:line="67"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12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w w:val="94"/>
              </w:rPr>
              <w:t xml:space="preserve">14 </w:t>
            </w:r>
            <w:r>
              <w:rPr>
                <w:rFonts w:ascii="Times New Roman" w:cs="Times New Roman" w:eastAsia="Times New Roman" w:hAnsi="Times New Roman"/>
                <w:sz w:val="14"/>
                <w:szCs w:val="14"/>
                <w:color w:val="auto"/>
                <w:w w:val="94"/>
              </w:rPr>
              <w:t>/ 15</w:t>
            </w:r>
          </w:p>
        </w:tc>
      </w:tr>
    </w:tbl>
    <w:p>
      <w:pPr>
        <w:sectPr>
          <w:pgSz w:w="11900" w:h="16838" w:orient="portrait"/>
          <w:cols w:equalWidth="0" w:num="1">
            <w:col w:w="9019"/>
          </w:cols>
          <w:pgMar w:left="1440" w:top="900" w:right="1440" w:bottom="1440" w:gutter="0" w:footer="0" w:header="0"/>
        </w:sectPr>
      </w:pPr>
    </w:p>
    <w:bookmarkStart w:id="49" w:name="page50"/>
    <w:bookmarkEnd w:id="49"/>
    <w:p>
      <w:pPr>
        <w:ind w:left="160" w:right="199"/>
        <w:spacing w:after="0" w:line="29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5619115</wp:posOffset>
            </wp:positionH>
            <wp:positionV relativeFrom="page">
              <wp:posOffset>163195</wp:posOffset>
            </wp:positionV>
            <wp:extent cx="911860" cy="310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911860" cy="31051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Insolvency Proceedings</w:t>
      </w:r>
      <w:r>
        <w:rPr>
          <w:rFonts w:ascii="Times New Roman" w:cs="Times New Roman" w:eastAsia="Times New Roman" w:hAnsi="Times New Roman"/>
          <w:sz w:val="14"/>
          <w:szCs w:val="14"/>
          <w:color w:val="auto"/>
        </w:rPr>
        <w:t>” means insolvency proceedings as defined in Article 2(4) of Regulation (EU) 2015/848 of the European Parliament and of the Council of 20 May 2015 on insolvency proceedings (recast).</w:t>
      </w:r>
    </w:p>
    <w:p>
      <w:pPr>
        <w:spacing w:after="0" w:line="120" w:lineRule="exact"/>
        <w:rPr>
          <w:sz w:val="20"/>
          <w:szCs w:val="20"/>
          <w:color w:val="auto"/>
        </w:rPr>
      </w:pPr>
    </w:p>
    <w:p>
      <w:pPr>
        <w:ind w:left="160" w:right="299"/>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Lugano Convention</w:t>
      </w:r>
      <w:r>
        <w:rPr>
          <w:rFonts w:ascii="Times New Roman" w:cs="Times New Roman" w:eastAsia="Times New Roman" w:hAnsi="Times New Roman"/>
          <w:sz w:val="14"/>
          <w:szCs w:val="14"/>
          <w:color w:val="auto"/>
        </w:rPr>
        <w:t>” means the 2007 Lugano Convention on jurisdiction and the recognition and enforcement of judgments in civil and commercial matters.</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York Court</w:t>
      </w:r>
      <w:r>
        <w:rPr>
          <w:rFonts w:ascii="Times New Roman" w:cs="Times New Roman" w:eastAsia="Times New Roman" w:hAnsi="Times New Roman"/>
          <w:sz w:val="14"/>
          <w:szCs w:val="14"/>
          <w:color w:val="auto"/>
        </w:rPr>
        <w:t>” means any federal or state court sitting in the Borough of Manhattan, the city of New York.</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York Law</w:t>
      </w:r>
      <w:r>
        <w:rPr>
          <w:rFonts w:ascii="Times New Roman" w:cs="Times New Roman" w:eastAsia="Times New Roman" w:hAnsi="Times New Roman"/>
          <w:sz w:val="14"/>
          <w:szCs w:val="14"/>
          <w:color w:val="auto"/>
        </w:rPr>
        <w:t>” means the laws of the State of New York.</w:t>
      </w:r>
    </w:p>
    <w:p>
      <w:pPr>
        <w:spacing w:after="0" w:line="179" w:lineRule="exact"/>
        <w:rPr>
          <w:sz w:val="20"/>
          <w:szCs w:val="20"/>
          <w:color w:val="auto"/>
        </w:rPr>
      </w:pPr>
    </w:p>
    <w:p>
      <w:pPr>
        <w:ind w:left="160" w:right="499"/>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Power of Attorney</w:t>
      </w:r>
      <w:r>
        <w:rPr>
          <w:rFonts w:ascii="Times New Roman" w:cs="Times New Roman" w:eastAsia="Times New Roman" w:hAnsi="Times New Roman"/>
          <w:sz w:val="14"/>
          <w:szCs w:val="14"/>
          <w:color w:val="auto"/>
        </w:rPr>
        <w:t>” means the power of attorney included in the resolution of each Company’s management board referred to in the definition of “Corporate Resolution”.</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Registration</w:t>
      </w:r>
      <w:r>
        <w:rPr>
          <w:rFonts w:ascii="Times New Roman" w:cs="Times New Roman" w:eastAsia="Times New Roman" w:hAnsi="Times New Roman"/>
          <w:sz w:val="14"/>
          <w:szCs w:val="14"/>
          <w:color w:val="auto"/>
        </w:rPr>
        <w:t>” means the registration of the Securities with the SEC under the Securities Act.</w:t>
      </w:r>
    </w:p>
    <w:p>
      <w:pPr>
        <w:spacing w:after="0" w:line="179" w:lineRule="exact"/>
        <w:rPr>
          <w:sz w:val="20"/>
          <w:szCs w:val="20"/>
          <w:color w:val="auto"/>
        </w:rPr>
      </w:pPr>
    </w:p>
    <w:p>
      <w:pPr>
        <w:ind w:left="160" w:right="239"/>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means the registration statement on form S-3 dated 12 August 2025 in relation to the Registration (excluding any documents incorporated by reference in it and any exhibits to it).</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U.S. Securities and Exchange Commission.</w:t>
      </w:r>
    </w:p>
    <w:p>
      <w:pPr>
        <w:spacing w:after="0" w:line="179" w:lineRule="exact"/>
        <w:rPr>
          <w:sz w:val="20"/>
          <w:szCs w:val="20"/>
          <w:color w:val="auto"/>
        </w:rPr>
      </w:pPr>
    </w:p>
    <w:p>
      <w:pPr>
        <w:ind w:left="160" w:right="199"/>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means any debt securities to be issued under the Registration Statement under the Indenture (including the full and unconditional guarantee by the Guarantor of the debt securities) from the date of this opinion and includes, where the context permits:</w:t>
      </w:r>
    </w:p>
    <w:p>
      <w:pPr>
        <w:spacing w:after="0" w:line="48" w:lineRule="exact"/>
        <w:rPr>
          <w:sz w:val="20"/>
          <w:szCs w:val="20"/>
          <w:color w:val="auto"/>
        </w:rPr>
      </w:pPr>
    </w:p>
    <w:p>
      <w:pPr>
        <w:ind w:left="500" w:hanging="337"/>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in all forms referred to in this opinion and any coupons, talons, and receipts pertaining to the Securities; and</w:t>
      </w:r>
    </w:p>
    <w:p>
      <w:pPr>
        <w:spacing w:after="0" w:line="10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an issue of Securities, the terms included in the Indenture.</w:t>
      </w:r>
    </w:p>
    <w:p>
      <w:pPr>
        <w:spacing w:after="0" w:line="177"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U.S. Securities Act of 1933, as amended.</w:t>
            </w:r>
          </w:p>
        </w:tc>
        <w:tc>
          <w:tcPr>
            <w:tcW w:w="2120" w:type="dxa"/>
            <w:vAlign w:val="bottom"/>
          </w:tcPr>
          <w:p>
            <w:pPr>
              <w:spacing w:after="0"/>
              <w:rPr>
                <w:sz w:val="16"/>
                <w:szCs w:val="16"/>
                <w:color w:val="auto"/>
              </w:rPr>
            </w:pPr>
          </w:p>
        </w:tc>
      </w:tr>
      <w:tr>
        <w:trPr>
          <w:trHeight w:val="340"/>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the Netherlands</w:t>
            </w:r>
            <w:r>
              <w:rPr>
                <w:rFonts w:ascii="Times New Roman" w:cs="Times New Roman" w:eastAsia="Times New Roman" w:hAnsi="Times New Roman"/>
                <w:sz w:val="14"/>
                <w:szCs w:val="14"/>
                <w:color w:val="auto"/>
              </w:rPr>
              <w:t>” means the European part of the Netherlands.</w:t>
            </w:r>
          </w:p>
        </w:tc>
        <w:tc>
          <w:tcPr>
            <w:tcW w:w="2120" w:type="dxa"/>
            <w:vAlign w:val="bottom"/>
          </w:tcPr>
          <w:p>
            <w:pPr>
              <w:spacing w:after="0"/>
              <w:rPr>
                <w:sz w:val="24"/>
                <w:szCs w:val="24"/>
                <w:color w:val="auto"/>
              </w:rPr>
            </w:pPr>
          </w:p>
        </w:tc>
      </w:tr>
      <w:tr>
        <w:trPr>
          <w:trHeight w:val="287"/>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2025 NXP Semiconductors N.V. and NXP B.V. – Legal Opinion – Shelf Registration</w:t>
            </w:r>
          </w:p>
        </w:tc>
        <w:tc>
          <w:tcPr>
            <w:tcW w:w="212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w w:val="94"/>
              </w:rPr>
              <w:t xml:space="preserve">15 </w:t>
            </w:r>
            <w:r>
              <w:rPr>
                <w:rFonts w:ascii="Times New Roman" w:cs="Times New Roman" w:eastAsia="Times New Roman" w:hAnsi="Times New Roman"/>
                <w:sz w:val="14"/>
                <w:szCs w:val="14"/>
                <w:color w:val="auto"/>
                <w:w w:val="94"/>
              </w:rPr>
              <w:t>/ 15</w:t>
            </w:r>
          </w:p>
        </w:tc>
      </w:tr>
    </w:tbl>
    <w:p>
      <w:pPr>
        <w:sectPr>
          <w:pgSz w:w="11900" w:h="16838" w:orient="portrait"/>
          <w:cols w:equalWidth="0" w:num="1">
            <w:col w:w="9019"/>
          </w:cols>
          <w:pgMar w:left="1440" w:top="900" w:right="1440" w:bottom="1440" w:gutter="0" w:footer="0" w:header="0"/>
        </w:sectPr>
      </w:pPr>
    </w:p>
    <w:bookmarkStart w:id="50" w:name="page51"/>
    <w:bookmarkEnd w:id="50"/>
    <w:p>
      <w:pPr>
        <w:jc w:val="right"/>
        <w:ind w:right="179"/>
        <w:spacing w:after="0"/>
        <w:rPr>
          <w:sz w:val="20"/>
          <w:szCs w:val="20"/>
          <w:color w:val="auto"/>
        </w:rPr>
      </w:pPr>
      <w:r>
        <w:rPr>
          <w:rFonts w:ascii="Times New Roman" w:cs="Times New Roman" w:eastAsia="Times New Roman" w:hAnsi="Times New Roman"/>
          <w:sz w:val="14"/>
          <w:szCs w:val="14"/>
          <w:color w:val="auto"/>
        </w:rPr>
        <w:t>Exhibit 23.1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w:t>
      </w:r>
    </w:p>
    <w:p>
      <w:pPr>
        <w:spacing w:after="0" w:line="23" w:lineRule="exact"/>
        <w:rPr>
          <w:sz w:val="20"/>
          <w:szCs w:val="20"/>
          <w:color w:val="auto"/>
        </w:rPr>
      </w:pPr>
    </w:p>
    <w:p>
      <w:pPr>
        <w:ind w:left="160" w:right="459"/>
        <w:spacing w:after="0" w:line="258" w:lineRule="auto"/>
        <w:rPr>
          <w:sz w:val="20"/>
          <w:szCs w:val="20"/>
          <w:color w:val="auto"/>
        </w:rPr>
      </w:pPr>
      <w:r>
        <w:rPr>
          <w:rFonts w:ascii="Times New Roman" w:cs="Times New Roman" w:eastAsia="Times New Roman" w:hAnsi="Times New Roman"/>
          <w:sz w:val="14"/>
          <w:szCs w:val="14"/>
          <w:color w:val="auto"/>
        </w:rPr>
        <w:t>NXP Semiconductors N.V. for the registration of debt securities and guarantees and to the incorporation by reference therein of our reports dated February 20, 2025, with respect to the consolidated financial statements of NXP Semiconductors N.V., and the effectiveness of internal control over financial reporting of NXP Semiconductors N.V., included in its Annual Report (Form 10-K) for the year ended December 31, 2024, filed with the Securities and Exchange Commission.</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 EY Accountants B.V.</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Amsterdam, the Netherlands</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August 12, 2025</w:t>
      </w:r>
    </w:p>
    <w:p>
      <w:pPr>
        <w:sectPr>
          <w:pgSz w:w="11900" w:h="16838" w:orient="portrait"/>
          <w:cols w:equalWidth="0" w:num="1">
            <w:col w:w="9019"/>
          </w:cols>
          <w:pgMar w:left="1440" w:top="125" w:right="1440" w:bottom="1440" w:gutter="0" w:footer="0" w:header="0"/>
        </w:sectPr>
      </w:pPr>
    </w:p>
    <w:bookmarkStart w:id="51" w:name="page52"/>
    <w:bookmarkEnd w:id="51"/>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144780</wp:posOffset>
            </wp:positionV>
            <wp:extent cx="551307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178435</wp:posOffset>
            </wp:positionV>
            <wp:extent cx="551307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174625</wp:posOffset>
            </wp:positionV>
            <wp:extent cx="116205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192405</wp:posOffset>
            </wp:positionV>
            <wp:extent cx="11620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left="1620" w:right="2000"/>
        <w:spacing w:after="0" w:line="253"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148" w:lineRule="exact"/>
        <w:rPr>
          <w:sz w:val="20"/>
          <w:szCs w:val="20"/>
          <w:color w:val="auto"/>
        </w:rPr>
      </w:pPr>
    </w:p>
    <w:p>
      <w:pPr>
        <w:ind w:left="500" w:right="1119" w:hanging="337"/>
        <w:spacing w:after="0" w:line="272" w:lineRule="auto"/>
        <w:tabs>
          <w:tab w:leader="none" w:pos="500" w:val="left"/>
        </w:tabs>
        <w:numPr>
          <w:ilvl w:val="0"/>
          <w:numId w:val="54"/>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160020</wp:posOffset>
            </wp:positionV>
            <wp:extent cx="11620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374" w:lineRule="exact"/>
        <w:rPr>
          <w:sz w:val="20"/>
          <w:szCs w:val="20"/>
          <w:color w:val="auto"/>
        </w:rPr>
      </w:pPr>
    </w:p>
    <w:p>
      <w:pPr>
        <w:jc w:val="center"/>
        <w:ind w:left="1620" w:right="380"/>
        <w:spacing w:after="0" w:line="261" w:lineRule="auto"/>
        <w:rPr>
          <w:sz w:val="20"/>
          <w:szCs w:val="20"/>
          <w:color w:val="auto"/>
        </w:rPr>
      </w:pPr>
      <w:r>
        <w:rPr>
          <w:rFonts w:ascii="Times New Roman" w:cs="Times New Roman" w:eastAsia="Times New Roman" w:hAnsi="Times New Roman"/>
          <w:sz w:val="33"/>
          <w:szCs w:val="33"/>
          <w:b w:val="1"/>
          <w:bCs w:val="1"/>
          <w:color w:val="auto"/>
        </w:rPr>
        <w:t>DEUTSCHE BANK TRUST COMPANY AMERICAS (formerly BANKERS TRUST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180975</wp:posOffset>
            </wp:positionV>
            <wp:extent cx="11620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468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13-4941247</w:t>
            </w:r>
          </w:p>
        </w:tc>
      </w:tr>
      <w:tr>
        <w:trPr>
          <w:trHeight w:val="117"/>
        </w:trPr>
        <w:tc>
          <w:tcPr>
            <w:tcW w:w="4680" w:type="dxa"/>
            <w:vAlign w:val="bottom"/>
            <w:gridSpan w:val="3"/>
          </w:tcPr>
          <w:p>
            <w:pPr>
              <w:jc w:val="center"/>
              <w:ind w:right="2740"/>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 Incorporation or</w:t>
            </w:r>
          </w:p>
        </w:tc>
        <w:tc>
          <w:tcPr>
            <w:tcW w:w="1240" w:type="dxa"/>
            <w:vAlign w:val="bottom"/>
          </w:tcPr>
          <w:p>
            <w:pPr>
              <w:jc w:val="center"/>
              <w:ind w:left="37"/>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68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organization if not a U.S. national bank)</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2"/>
        </w:trPr>
        <w:tc>
          <w:tcPr>
            <w:tcW w:w="468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rPr>
              <w:t>One Columbus Circle</w:t>
            </w:r>
          </w:p>
        </w:tc>
        <w:tc>
          <w:tcPr>
            <w:tcW w:w="1240" w:type="dxa"/>
            <w:vAlign w:val="bottom"/>
          </w:tcPr>
          <w:p>
            <w:pPr>
              <w:spacing w:after="0"/>
              <w:rPr>
                <w:sz w:val="24"/>
                <w:szCs w:val="24"/>
                <w:color w:val="auto"/>
              </w:rPr>
            </w:pPr>
          </w:p>
        </w:tc>
      </w:tr>
      <w:tr>
        <w:trPr>
          <w:trHeight w:val="168"/>
        </w:trPr>
        <w:tc>
          <w:tcPr>
            <w:tcW w:w="468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rPr>
              <w:t>NEW YORK, NEW YORK</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49"/>
        </w:trPr>
        <w:tc>
          <w:tcPr>
            <w:tcW w:w="4680" w:type="dxa"/>
            <w:vAlign w:val="bottom"/>
            <w:gridSpan w:val="3"/>
          </w:tcPr>
          <w:p>
            <w:pPr>
              <w:jc w:val="center"/>
              <w:ind w:right="272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311"/>
        </w:trPr>
        <w:tc>
          <w:tcPr>
            <w:tcW w:w="4680" w:type="dxa"/>
            <w:vAlign w:val="bottom"/>
            <w:gridSpan w:val="3"/>
          </w:tcPr>
          <w:p>
            <w:pPr>
              <w:jc w:val="center"/>
              <w:ind w:left="1497"/>
              <w:spacing w:after="0"/>
              <w:rPr>
                <w:sz w:val="20"/>
                <w:szCs w:val="20"/>
                <w:color w:val="auto"/>
              </w:rPr>
            </w:pPr>
            <w:r>
              <w:rPr>
                <w:rFonts w:ascii="Times New Roman" w:cs="Times New Roman" w:eastAsia="Times New Roman" w:hAnsi="Times New Roman"/>
                <w:sz w:val="14"/>
                <w:szCs w:val="14"/>
                <w:b w:val="1"/>
                <w:bCs w:val="1"/>
                <w:color w:val="auto"/>
              </w:rPr>
              <w:t>Deutsche Bank Trust Company Americas</w:t>
            </w:r>
          </w:p>
        </w:tc>
        <w:tc>
          <w:tcPr>
            <w:tcW w:w="1240" w:type="dxa"/>
            <w:vAlign w:val="bottom"/>
          </w:tcPr>
          <w:p>
            <w:pPr>
              <w:spacing w:after="0"/>
              <w:rPr>
                <w:sz w:val="24"/>
                <w:szCs w:val="24"/>
                <w:color w:val="auto"/>
              </w:rPr>
            </w:pPr>
          </w:p>
        </w:tc>
      </w:tr>
      <w:tr>
        <w:trPr>
          <w:trHeight w:val="170"/>
        </w:trPr>
        <w:tc>
          <w:tcPr>
            <w:tcW w:w="2200" w:type="dxa"/>
            <w:vAlign w:val="bottom"/>
          </w:tcPr>
          <w:p>
            <w:pPr>
              <w:spacing w:after="0"/>
              <w:rPr>
                <w:sz w:val="14"/>
                <w:szCs w:val="14"/>
                <w:color w:val="auto"/>
              </w:rPr>
            </w:pPr>
          </w:p>
        </w:tc>
        <w:tc>
          <w:tcPr>
            <w:tcW w:w="24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One Columbus Circle</w:t>
            </w:r>
          </w:p>
        </w:tc>
        <w:tc>
          <w:tcPr>
            <w:tcW w:w="1240" w:type="dxa"/>
            <w:vAlign w:val="bottom"/>
          </w:tcPr>
          <w:p>
            <w:pPr>
              <w:spacing w:after="0"/>
              <w:rPr>
                <w:sz w:val="14"/>
                <w:szCs w:val="14"/>
                <w:color w:val="auto"/>
              </w:rPr>
            </w:pPr>
          </w:p>
        </w:tc>
      </w:tr>
      <w:tr>
        <w:trPr>
          <w:trHeight w:val="170"/>
        </w:trPr>
        <w:tc>
          <w:tcPr>
            <w:tcW w:w="2200" w:type="dxa"/>
            <w:vAlign w:val="bottom"/>
          </w:tcPr>
          <w:p>
            <w:pPr>
              <w:spacing w:after="0"/>
              <w:rPr>
                <w:sz w:val="14"/>
                <w:szCs w:val="14"/>
                <w:color w:val="auto"/>
              </w:rPr>
            </w:pPr>
          </w:p>
        </w:tc>
        <w:tc>
          <w:tcPr>
            <w:tcW w:w="24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New York, New York 10019</w:t>
            </w:r>
          </w:p>
        </w:tc>
        <w:tc>
          <w:tcPr>
            <w:tcW w:w="124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4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(212) 250 – 2500</w:t>
            </w:r>
          </w:p>
        </w:tc>
        <w:tc>
          <w:tcPr>
            <w:tcW w:w="1240" w:type="dxa"/>
            <w:vAlign w:val="bottom"/>
          </w:tcPr>
          <w:p>
            <w:pPr>
              <w:spacing w:after="0"/>
              <w:rPr>
                <w:sz w:val="14"/>
                <w:szCs w:val="14"/>
                <w:color w:val="auto"/>
              </w:rPr>
            </w:pPr>
          </w:p>
        </w:tc>
      </w:tr>
      <w:tr>
        <w:trPr>
          <w:trHeight w:val="149"/>
        </w:trPr>
        <w:tc>
          <w:tcPr>
            <w:tcW w:w="4680" w:type="dxa"/>
            <w:vAlign w:val="bottom"/>
            <w:gridSpan w:val="3"/>
          </w:tcPr>
          <w:p>
            <w:pPr>
              <w:jc w:val="center"/>
              <w:ind w:left="1517"/>
              <w:spacing w:after="0"/>
              <w:rPr>
                <w:sz w:val="20"/>
                <w:szCs w:val="20"/>
                <w:color w:val="auto"/>
              </w:rPr>
            </w:pPr>
            <w:r>
              <w:rPr>
                <w:rFonts w:ascii="Times New Roman" w:cs="Times New Roman" w:eastAsia="Times New Roman" w:hAnsi="Times New Roman"/>
                <w:sz w:val="11"/>
                <w:szCs w:val="11"/>
                <w:b w:val="1"/>
                <w:bCs w:val="1"/>
                <w:color w:val="auto"/>
              </w:rPr>
              <w:t>(Name, address and telephone number of agent for service)</w:t>
            </w:r>
          </w:p>
        </w:tc>
        <w:tc>
          <w:tcPr>
            <w:tcW w:w="1240" w:type="dxa"/>
            <w:vAlign w:val="bottom"/>
          </w:tcPr>
          <w:p>
            <w:pPr>
              <w:spacing w:after="0"/>
              <w:rPr>
                <w:sz w:val="12"/>
                <w:szCs w:val="12"/>
                <w:color w:val="auto"/>
              </w:rPr>
            </w:pPr>
          </w:p>
        </w:tc>
      </w:tr>
      <w:tr>
        <w:trPr>
          <w:trHeight w:val="264"/>
        </w:trPr>
        <w:tc>
          <w:tcPr>
            <w:tcW w:w="220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314"/>
        </w:trPr>
        <w:tc>
          <w:tcPr>
            <w:tcW w:w="2200" w:type="dxa"/>
            <w:vAlign w:val="bottom"/>
          </w:tcPr>
          <w:p>
            <w:pPr>
              <w:spacing w:after="0"/>
              <w:rPr>
                <w:sz w:val="24"/>
                <w:szCs w:val="24"/>
                <w:color w:val="auto"/>
              </w:rPr>
            </w:pPr>
          </w:p>
        </w:tc>
        <w:tc>
          <w:tcPr>
            <w:tcW w:w="24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NXP Semiconductors N.V.</w:t>
            </w:r>
          </w:p>
        </w:tc>
        <w:tc>
          <w:tcPr>
            <w:tcW w:w="1240" w:type="dxa"/>
            <w:vAlign w:val="bottom"/>
          </w:tcPr>
          <w:p>
            <w:pPr>
              <w:spacing w:after="0"/>
              <w:rPr>
                <w:sz w:val="24"/>
                <w:szCs w:val="24"/>
                <w:color w:val="auto"/>
              </w:rPr>
            </w:pPr>
          </w:p>
        </w:tc>
      </w:tr>
      <w:tr>
        <w:trPr>
          <w:trHeight w:val="168"/>
        </w:trPr>
        <w:tc>
          <w:tcPr>
            <w:tcW w:w="2200" w:type="dxa"/>
            <w:vAlign w:val="bottom"/>
          </w:tcPr>
          <w:p>
            <w:pPr>
              <w:spacing w:after="0"/>
              <w:rPr>
                <w:sz w:val="14"/>
                <w:szCs w:val="14"/>
                <w:color w:val="auto"/>
              </w:rPr>
            </w:pPr>
          </w:p>
        </w:tc>
        <w:tc>
          <w:tcPr>
            <w:tcW w:w="24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8"/>
              </w:rPr>
              <w:t>NXP B.V.</w:t>
            </w:r>
          </w:p>
        </w:tc>
        <w:tc>
          <w:tcPr>
            <w:tcW w:w="1240" w:type="dxa"/>
            <w:vAlign w:val="bottom"/>
          </w:tcPr>
          <w:p>
            <w:pPr>
              <w:spacing w:after="0"/>
              <w:rPr>
                <w:sz w:val="14"/>
                <w:szCs w:val="14"/>
                <w:color w:val="auto"/>
              </w:rPr>
            </w:pPr>
          </w:p>
        </w:tc>
      </w:tr>
      <w:tr>
        <w:trPr>
          <w:trHeight w:val="149"/>
        </w:trPr>
        <w:tc>
          <w:tcPr>
            <w:tcW w:w="4680" w:type="dxa"/>
            <w:vAlign w:val="bottom"/>
            <w:gridSpan w:val="3"/>
          </w:tcPr>
          <w:p>
            <w:pPr>
              <w:jc w:val="center"/>
              <w:ind w:left="1517"/>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1240" w:type="dxa"/>
            <w:vAlign w:val="bottom"/>
          </w:tcPr>
          <w:p>
            <w:pPr>
              <w:spacing w:after="0"/>
              <w:rPr>
                <w:sz w:val="12"/>
                <w:szCs w:val="12"/>
                <w:color w:val="auto"/>
              </w:rPr>
            </w:pPr>
          </w:p>
        </w:tc>
      </w:tr>
      <w:tr>
        <w:trPr>
          <w:trHeight w:val="264"/>
        </w:trPr>
        <w:tc>
          <w:tcPr>
            <w:tcW w:w="220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368"/>
        </w:trPr>
        <w:tc>
          <w:tcPr>
            <w:tcW w:w="468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Netherlands</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98-1144352</w:t>
            </w:r>
          </w:p>
        </w:tc>
      </w:tr>
      <w:tr>
        <w:trPr>
          <w:trHeight w:val="168"/>
        </w:trPr>
        <w:tc>
          <w:tcPr>
            <w:tcW w:w="468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Netherlands</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98-0514811</w:t>
            </w:r>
          </w:p>
        </w:tc>
      </w:tr>
      <w:tr>
        <w:trPr>
          <w:trHeight w:val="117"/>
        </w:trPr>
        <w:tc>
          <w:tcPr>
            <w:tcW w:w="4680" w:type="dxa"/>
            <w:vAlign w:val="bottom"/>
            <w:gridSpan w:val="3"/>
          </w:tcPr>
          <w:p>
            <w:pPr>
              <w:jc w:val="center"/>
              <w:ind w:right="274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240" w:type="dxa"/>
            <w:vAlign w:val="bottom"/>
          </w:tcPr>
          <w:p>
            <w:pPr>
              <w:jc w:val="center"/>
              <w:ind w:left="57"/>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680" w:type="dxa"/>
            <w:vAlign w:val="bottom"/>
            <w:gridSpan w:val="3"/>
          </w:tcPr>
          <w:p>
            <w:pPr>
              <w:jc w:val="center"/>
              <w:ind w:right="27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High Tech Campus 60, 5656 AG Eindhoven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Netherlands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+31 40 2729999</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172720</wp:posOffset>
            </wp:positionV>
            <wp:extent cx="116205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20" w:type="dxa"/>
            <w:vAlign w:val="bottom"/>
            <w:gridSpan w:val="2"/>
          </w:tcPr>
          <w:p>
            <w:pPr>
              <w:jc w:val="center"/>
              <w:ind w:right="1823"/>
              <w:spacing w:after="0"/>
              <w:rPr>
                <w:sz w:val="20"/>
                <w:szCs w:val="20"/>
                <w:color w:val="auto"/>
              </w:rPr>
            </w:pPr>
            <w:r>
              <w:rPr>
                <w:rFonts w:ascii="Times New Roman" w:cs="Times New Roman" w:eastAsia="Times New Roman" w:hAnsi="Times New Roman"/>
                <w:sz w:val="14"/>
                <w:szCs w:val="14"/>
                <w:b w:val="1"/>
                <w:bCs w:val="1"/>
                <w:color w:val="auto"/>
              </w:rPr>
              <w:t>NXP Funding LLC</w:t>
            </w:r>
          </w:p>
        </w:tc>
      </w:tr>
      <w:tr>
        <w:trPr>
          <w:trHeight w:val="168"/>
        </w:trPr>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20" w:type="dxa"/>
            <w:vAlign w:val="bottom"/>
            <w:gridSpan w:val="2"/>
          </w:tcPr>
          <w:p>
            <w:pPr>
              <w:jc w:val="center"/>
              <w:ind w:right="1823"/>
              <w:spacing w:after="0"/>
              <w:rPr>
                <w:sz w:val="20"/>
                <w:szCs w:val="20"/>
                <w:color w:val="auto"/>
              </w:rPr>
            </w:pPr>
            <w:r>
              <w:rPr>
                <w:rFonts w:ascii="Times New Roman" w:cs="Times New Roman" w:eastAsia="Times New Roman" w:hAnsi="Times New Roman"/>
                <w:sz w:val="14"/>
                <w:szCs w:val="14"/>
                <w:b w:val="1"/>
                <w:bCs w:val="1"/>
                <w:color w:val="auto"/>
              </w:rPr>
              <w:t>NXP USA, Inc.</w:t>
            </w:r>
          </w:p>
        </w:tc>
      </w:tr>
      <w:tr>
        <w:trPr>
          <w:trHeight w:val="149"/>
        </w:trPr>
        <w:tc>
          <w:tcPr>
            <w:tcW w:w="1580" w:type="dxa"/>
            <w:vAlign w:val="bottom"/>
          </w:tcPr>
          <w:p>
            <w:pPr>
              <w:spacing w:after="0"/>
              <w:rPr>
                <w:sz w:val="12"/>
                <w:szCs w:val="12"/>
                <w:color w:val="auto"/>
              </w:rPr>
            </w:pPr>
          </w:p>
        </w:tc>
        <w:tc>
          <w:tcPr>
            <w:tcW w:w="4100" w:type="dxa"/>
            <w:vAlign w:val="bottom"/>
            <w:gridSpan w:val="3"/>
          </w:tcPr>
          <w:p>
            <w:pPr>
              <w:jc w:val="center"/>
              <w:ind w:right="1423"/>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r>
      <w:tr>
        <w:trPr>
          <w:trHeight w:val="275"/>
        </w:trPr>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1880" w:type="dxa"/>
            <w:vAlign w:val="bottom"/>
          </w:tcPr>
          <w:p>
            <w:pPr>
              <w:spacing w:after="0"/>
              <w:rPr>
                <w:sz w:val="23"/>
                <w:szCs w:val="23"/>
                <w:color w:val="auto"/>
              </w:rPr>
            </w:pPr>
          </w:p>
        </w:tc>
      </w:tr>
      <w:tr>
        <w:trPr>
          <w:trHeight w:val="357"/>
        </w:trPr>
        <w:tc>
          <w:tcPr>
            <w:tcW w:w="15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100" w:type="dxa"/>
            <w:vAlign w:val="bottom"/>
            <w:gridSpan w:val="3"/>
          </w:tcPr>
          <w:p>
            <w:pPr>
              <w:jc w:val="center"/>
              <w:ind w:left="2914"/>
              <w:spacing w:after="0"/>
              <w:rPr>
                <w:sz w:val="20"/>
                <w:szCs w:val="20"/>
                <w:color w:val="auto"/>
              </w:rPr>
            </w:pPr>
            <w:r>
              <w:rPr>
                <w:rFonts w:ascii="Times New Roman" w:cs="Times New Roman" w:eastAsia="Times New Roman" w:hAnsi="Times New Roman"/>
                <w:sz w:val="14"/>
                <w:szCs w:val="14"/>
                <w:b w:val="1"/>
                <w:bCs w:val="1"/>
                <w:color w:val="auto"/>
              </w:rPr>
              <w:t>83-1373050</w:t>
            </w:r>
          </w:p>
        </w:tc>
      </w:tr>
      <w:tr>
        <w:trPr>
          <w:trHeight w:val="168"/>
        </w:trPr>
        <w:tc>
          <w:tcPr>
            <w:tcW w:w="15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100" w:type="dxa"/>
            <w:vAlign w:val="bottom"/>
            <w:gridSpan w:val="3"/>
          </w:tcPr>
          <w:p>
            <w:pPr>
              <w:jc w:val="center"/>
              <w:ind w:left="2914"/>
              <w:spacing w:after="0"/>
              <w:rPr>
                <w:sz w:val="20"/>
                <w:szCs w:val="20"/>
                <w:color w:val="auto"/>
              </w:rPr>
            </w:pPr>
            <w:r>
              <w:rPr>
                <w:rFonts w:ascii="Times New Roman" w:cs="Times New Roman" w:eastAsia="Times New Roman" w:hAnsi="Times New Roman"/>
                <w:sz w:val="14"/>
                <w:szCs w:val="14"/>
                <w:b w:val="1"/>
                <w:bCs w:val="1"/>
                <w:color w:val="auto"/>
              </w:rPr>
              <w:t>20-0443182</w:t>
            </w:r>
          </w:p>
        </w:tc>
      </w:tr>
      <w:tr>
        <w:trPr>
          <w:trHeight w:val="117"/>
        </w:trPr>
        <w:tc>
          <w:tcPr>
            <w:tcW w:w="158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80" w:type="dxa"/>
            <w:vAlign w:val="bottom"/>
          </w:tcPr>
          <w:p>
            <w:pPr>
              <w:jc w:val="center"/>
              <w:ind w:left="703"/>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580" w:type="dxa"/>
            <w:vAlign w:val="bottom"/>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80" w:type="dxa"/>
            <w:vAlign w:val="bottom"/>
          </w:tcPr>
          <w:p>
            <w:pPr>
              <w:jc w:val="center"/>
              <w:ind w:left="703"/>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251 Little Falls Drive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Wilmington, Delaware 19808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+ 1.512.933.8214</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179705</wp:posOffset>
            </wp:positionV>
            <wp:extent cx="116205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NXP Funding LLC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251 Little Falls Drive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Wilmington, Delaware 19808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+ 1.512.933.8214</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172720</wp:posOffset>
            </wp:positionV>
            <wp:extent cx="116205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 and Guarantees of Debt Securities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78740</wp:posOffset>
            </wp:positionV>
            <wp:extent cx="551307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112395</wp:posOffset>
            </wp:positionV>
            <wp:extent cx="551307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ectPr>
          <w:pgSz w:w="11900" w:h="16838" w:orient="portrait"/>
          <w:cols w:equalWidth="0" w:num="1">
            <w:col w:w="9019"/>
          </w:cols>
          <w:pgMar w:left="1440" w:top="123" w:right="1440" w:bottom="937" w:gutter="0" w:footer="0" w:header="0"/>
        </w:sectPr>
      </w:pPr>
    </w:p>
    <w:bookmarkStart w:id="52" w:name="page53"/>
    <w:bookmarkEnd w:id="52"/>
    <w:tbl>
      <w:tblPr>
        <w:tblLayout w:type="fixed"/>
        <w:tblInd w:w="16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5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General Information.</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55"/>
        </w:trPr>
        <w:tc>
          <w:tcPr>
            <w:tcW w:w="720" w:type="dxa"/>
            <w:vAlign w:val="bottom"/>
          </w:tcPr>
          <w:p>
            <w:pPr>
              <w:spacing w:after="0"/>
              <w:rPr>
                <w:sz w:val="22"/>
                <w:szCs w:val="22"/>
                <w:color w:val="auto"/>
              </w:rPr>
            </w:pPr>
          </w:p>
        </w:tc>
        <w:tc>
          <w:tcPr>
            <w:tcW w:w="57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Furnish the following information as to the trustee.</w:t>
            </w: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66"/>
        </w:trPr>
        <w:tc>
          <w:tcPr>
            <w:tcW w:w="720" w:type="dxa"/>
            <w:vAlign w:val="bottom"/>
          </w:tcPr>
          <w:p>
            <w:pPr>
              <w:spacing w:after="0"/>
              <w:rPr>
                <w:sz w:val="23"/>
                <w:szCs w:val="23"/>
                <w:color w:val="auto"/>
              </w:rPr>
            </w:pPr>
          </w:p>
        </w:tc>
        <w:tc>
          <w:tcPr>
            <w:tcW w:w="57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   Name and address of each examining or supervising authority to which it is subject.</w:t>
            </w: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330"/>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Address</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7"/>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Bank (2nd District)</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w:t>
            </w:r>
          </w:p>
        </w:tc>
      </w:tr>
      <w:tr>
        <w:trPr>
          <w:trHeight w:val="170"/>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Washington, D.C.</w:t>
            </w:r>
          </w:p>
        </w:tc>
      </w:tr>
      <w:tr>
        <w:trPr>
          <w:trHeight w:val="184"/>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State Banking Department</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Albany, NY</w:t>
            </w:r>
          </w:p>
        </w:tc>
      </w:tr>
      <w:tr>
        <w:trPr>
          <w:trHeight w:val="348"/>
        </w:trPr>
        <w:tc>
          <w:tcPr>
            <w:tcW w:w="720" w:type="dxa"/>
            <w:vAlign w:val="bottom"/>
          </w:tcPr>
          <w:p>
            <w:pPr>
              <w:spacing w:after="0"/>
              <w:rPr>
                <w:sz w:val="24"/>
                <w:szCs w:val="24"/>
                <w:color w:val="auto"/>
              </w:rPr>
            </w:pPr>
          </w:p>
        </w:tc>
        <w:tc>
          <w:tcPr>
            <w:tcW w:w="57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(b)   Whether it is authorized to exercise corporate trust powers.</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4"/>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Yes.</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457"/>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5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Affiliations with Obligor.</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5"/>
        </w:trPr>
        <w:tc>
          <w:tcPr>
            <w:tcW w:w="720" w:type="dxa"/>
            <w:vAlign w:val="bottom"/>
          </w:tcPr>
          <w:p>
            <w:pPr>
              <w:spacing w:after="0"/>
              <w:rPr>
                <w:sz w:val="22"/>
                <w:szCs w:val="22"/>
                <w:color w:val="auto"/>
              </w:rPr>
            </w:pPr>
          </w:p>
        </w:tc>
        <w:tc>
          <w:tcPr>
            <w:tcW w:w="57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If the obligor is an affiliate of the Trustee, describe each such affiliation.</w:t>
            </w: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5"/>
        </w:trPr>
        <w:tc>
          <w:tcPr>
            <w:tcW w:w="720" w:type="dxa"/>
            <w:vAlign w:val="bottom"/>
          </w:tcPr>
          <w:p>
            <w:pPr>
              <w:spacing w:after="0"/>
              <w:rPr>
                <w:sz w:val="22"/>
                <w:szCs w:val="22"/>
                <w:color w:val="auto"/>
              </w:rPr>
            </w:pPr>
          </w:p>
        </w:tc>
        <w:tc>
          <w:tcPr>
            <w:tcW w:w="57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NA</w:t>
            </w: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457"/>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3.-15.</w:t>
            </w:r>
          </w:p>
        </w:tc>
        <w:tc>
          <w:tcPr>
            <w:tcW w:w="5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5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List of Exhibits.</w:t>
            </w: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1820" w:right="359" w:hanging="871"/>
        <w:spacing w:after="0" w:line="260" w:lineRule="auto"/>
        <w:tabs>
          <w:tab w:leader="none" w:pos="1800" w:val="left"/>
        </w:tabs>
        <w:rPr>
          <w:sz w:val="20"/>
          <w:szCs w:val="20"/>
          <w:color w:val="auto"/>
        </w:rPr>
      </w:pPr>
      <w:r>
        <w:rPr>
          <w:rFonts w:ascii="Times New Roman" w:cs="Times New Roman" w:eastAsia="Times New Roman" w:hAnsi="Times New Roman"/>
          <w:sz w:val="14"/>
          <w:szCs w:val="14"/>
          <w:b w:val="1"/>
          <w:bCs w:val="1"/>
          <w:color w:val="auto"/>
        </w:rPr>
        <w:t>Exhibit 1 -</w:t>
      </w:r>
      <w:r>
        <w:rPr>
          <w:sz w:val="20"/>
          <w:szCs w:val="20"/>
          <w:color w:val="auto"/>
        </w:rPr>
        <w:tab/>
      </w:r>
      <w:r>
        <w:rPr>
          <w:rFonts w:ascii="Times New Roman" w:cs="Times New Roman" w:eastAsia="Times New Roman" w:hAnsi="Times New Roman"/>
          <w:sz w:val="14"/>
          <w:szCs w:val="14"/>
          <w:color w:val="auto"/>
        </w:rPr>
        <w:t>Restated Organization Certificate of Bankers Trust Company dated August 31, 1998; Certificate of Amendment of the Organization Certificate of Bankers Trust Company dated September 25, 1998; Certificate of Amendment of the Organization Certificate of Bankers Trust Company dated December 18, 1998; 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p>
      <w:pPr>
        <w:spacing w:after="0" w:line="60" w:lineRule="exact"/>
        <w:rPr>
          <w:sz w:val="20"/>
          <w:szCs w:val="20"/>
          <w:color w:val="auto"/>
        </w:rPr>
      </w:pPr>
    </w:p>
    <w:p>
      <w:pPr>
        <w:ind w:left="1820" w:right="779" w:hanging="871"/>
        <w:spacing w:after="0" w:line="288" w:lineRule="auto"/>
        <w:tabs>
          <w:tab w:leader="none" w:pos="1800" w:val="left"/>
        </w:tabs>
        <w:rPr>
          <w:sz w:val="20"/>
          <w:szCs w:val="20"/>
          <w:color w:val="auto"/>
        </w:rPr>
      </w:pPr>
      <w:r>
        <w:rPr>
          <w:rFonts w:ascii="Times New Roman" w:cs="Times New Roman" w:eastAsia="Times New Roman" w:hAnsi="Times New Roman"/>
          <w:sz w:val="14"/>
          <w:szCs w:val="14"/>
          <w:b w:val="1"/>
          <w:bCs w:val="1"/>
          <w:color w:val="auto"/>
        </w:rPr>
        <w:t>Exhibit 2 -</w:t>
      </w:r>
      <w:r>
        <w:rPr>
          <w:sz w:val="20"/>
          <w:szCs w:val="20"/>
          <w:color w:val="auto"/>
        </w:rPr>
        <w:tab/>
      </w:r>
      <w:r>
        <w:rPr>
          <w:rFonts w:ascii="Times New Roman" w:cs="Times New Roman" w:eastAsia="Times New Roman" w:hAnsi="Times New Roman"/>
          <w:sz w:val="14"/>
          <w:szCs w:val="14"/>
          <w:color w:val="auto"/>
        </w:rPr>
        <w:t>Certificate of Authority to commence business, incorporated herein by reference to Exhibit 2 filed with Form T-1 Statement, Registration No. 333-201810.</w:t>
      </w:r>
    </w:p>
    <w:p>
      <w:pPr>
        <w:spacing w:after="0" w:line="39" w:lineRule="exact"/>
        <w:rPr>
          <w:sz w:val="20"/>
          <w:szCs w:val="20"/>
          <w:color w:val="auto"/>
        </w:rPr>
      </w:pPr>
    </w:p>
    <w:p>
      <w:pPr>
        <w:ind w:left="1820" w:right="439" w:hanging="871"/>
        <w:spacing w:after="0" w:line="288" w:lineRule="auto"/>
        <w:tabs>
          <w:tab w:leader="none" w:pos="1800" w:val="left"/>
        </w:tabs>
        <w:rPr>
          <w:sz w:val="20"/>
          <w:szCs w:val="20"/>
          <w:color w:val="auto"/>
        </w:rPr>
      </w:pPr>
      <w:r>
        <w:rPr>
          <w:rFonts w:ascii="Times New Roman" w:cs="Times New Roman" w:eastAsia="Times New Roman" w:hAnsi="Times New Roman"/>
          <w:sz w:val="14"/>
          <w:szCs w:val="14"/>
          <w:b w:val="1"/>
          <w:bCs w:val="1"/>
          <w:color w:val="auto"/>
        </w:rPr>
        <w:t>Exhibit 3 -</w:t>
      </w:r>
      <w:r>
        <w:rPr>
          <w:sz w:val="20"/>
          <w:szCs w:val="20"/>
          <w:color w:val="auto"/>
        </w:rPr>
        <w:tab/>
      </w:r>
      <w:r>
        <w:rPr>
          <w:rFonts w:ascii="Times New Roman" w:cs="Times New Roman" w:eastAsia="Times New Roman" w:hAnsi="Times New Roman"/>
          <w:sz w:val="14"/>
          <w:szCs w:val="14"/>
          <w:color w:val="auto"/>
        </w:rPr>
        <w:t>Authorization of the Trustee to exercise corporate trust powers, incorporated herein by reference to Exhibit 3 filed with Form T-1 Statement, Registration No. 333-201810.</w:t>
      </w:r>
    </w:p>
    <w:p>
      <w:pPr>
        <w:spacing w:after="0" w:line="39" w:lineRule="exact"/>
        <w:rPr>
          <w:sz w:val="20"/>
          <w:szCs w:val="20"/>
          <w:color w:val="auto"/>
        </w:rPr>
      </w:pPr>
    </w:p>
    <w:p>
      <w:pPr>
        <w:jc w:val="center"/>
        <w:ind w:right="-20"/>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Exhibit 4 -</w:t>
      </w:r>
      <w:r>
        <w:rPr>
          <w:sz w:val="20"/>
          <w:szCs w:val="20"/>
          <w:color w:val="auto"/>
        </w:rPr>
        <w:tab/>
      </w:r>
      <w:r>
        <w:rPr>
          <w:rFonts w:ascii="Times New Roman" w:cs="Times New Roman" w:eastAsia="Times New Roman" w:hAnsi="Times New Roman"/>
          <w:sz w:val="14"/>
          <w:szCs w:val="14"/>
          <w:color w:val="auto"/>
        </w:rPr>
        <w:t>A copy of existing By-Laws of Deutsche Bank Trust Company Americas, dated March 2, 2023 (see attached).</w:t>
      </w:r>
    </w:p>
    <w:p>
      <w:pPr>
        <w:sectPr>
          <w:pgSz w:w="11900" w:h="16838" w:orient="portrait"/>
          <w:cols w:equalWidth="0" w:num="1">
            <w:col w:w="9019"/>
          </w:cols>
          <w:pgMar w:left="1440" w:top="527" w:right="1440" w:bottom="1440" w:gutter="0" w:footer="0" w:header="0"/>
        </w:sectPr>
      </w:pPr>
    </w:p>
    <w:bookmarkStart w:id="53" w:name="page54"/>
    <w:bookmarkEnd w:id="53"/>
    <w:p>
      <w:pPr>
        <w:ind w:left="960"/>
        <w:spacing w:after="0"/>
        <w:rPr>
          <w:sz w:val="20"/>
          <w:szCs w:val="20"/>
          <w:color w:val="auto"/>
        </w:rPr>
      </w:pPr>
      <w:r>
        <w:rPr>
          <w:rFonts w:ascii="Times New Roman" w:cs="Times New Roman" w:eastAsia="Times New Roman" w:hAnsi="Times New Roman"/>
          <w:sz w:val="13"/>
          <w:szCs w:val="13"/>
          <w:b w:val="1"/>
          <w:bCs w:val="1"/>
          <w:color w:val="auto"/>
        </w:rPr>
        <w:t>Exhibit 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-166370</wp:posOffset>
            </wp:positionV>
            <wp:extent cx="720026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1580" w:space="240"/>
            <w:col w:w="7199"/>
          </w:cols>
          <w:pgMar w:left="1440" w:top="240" w:right="1440" w:bottom="1440" w:gutter="0" w:footer="0" w:header="0"/>
        </w:sectPr>
      </w:pPr>
    </w:p>
    <w:p>
      <w:pPr>
        <w:ind w:left="960"/>
        <w:spacing w:after="0"/>
        <w:rPr>
          <w:sz w:val="20"/>
          <w:szCs w:val="20"/>
          <w:color w:val="auto"/>
        </w:rPr>
      </w:pPr>
      <w:r>
        <w:rPr>
          <w:rFonts w:ascii="Times New Roman" w:cs="Times New Roman" w:eastAsia="Times New Roman" w:hAnsi="Times New Roman"/>
          <w:sz w:val="13"/>
          <w:szCs w:val="13"/>
          <w:b w:val="1"/>
          <w:bCs w:val="1"/>
          <w:color w:val="auto"/>
        </w:rPr>
        <w:t>Exhibit 6 -</w:t>
      </w:r>
    </w:p>
    <w:p>
      <w:pPr>
        <w:spacing w:after="0" w:line="20" w:lineRule="exact"/>
        <w:rPr>
          <w:sz w:val="20"/>
          <w:szCs w:val="20"/>
          <w:color w:val="auto"/>
        </w:rPr>
      </w:pPr>
      <w:r>
        <w:rPr>
          <w:sz w:val="20"/>
          <w:szCs w:val="20"/>
          <w:color w:val="auto"/>
        </w:rPr>
        <w:br w:type="column"/>
      </w:r>
    </w:p>
    <w:p>
      <w:pPr>
        <w:ind w:right="379"/>
        <w:spacing w:after="0" w:line="288" w:lineRule="auto"/>
        <w:rPr>
          <w:sz w:val="20"/>
          <w:szCs w:val="20"/>
          <w:color w:val="auto"/>
        </w:rPr>
      </w:pPr>
      <w:r>
        <w:rPr>
          <w:rFonts w:ascii="Times New Roman" w:cs="Times New Roman" w:eastAsia="Times New Roman" w:hAnsi="Times New Roman"/>
          <w:sz w:val="14"/>
          <w:szCs w:val="14"/>
          <w:color w:val="auto"/>
        </w:rPr>
        <w:t>Consent of Bankers Trust Company required by Section 321(b) of the Act, incorporated herein by reference to Exhibit 6 filed with Form T-1 Statement, Registration No. 333-201810.</w:t>
      </w:r>
    </w:p>
    <w:p>
      <w:pPr>
        <w:spacing w:after="0" w:line="37" w:lineRule="exact"/>
        <w:rPr>
          <w:sz w:val="20"/>
          <w:szCs w:val="20"/>
          <w:color w:val="auto"/>
        </w:rPr>
      </w:pPr>
    </w:p>
    <w:p>
      <w:pPr>
        <w:sectPr>
          <w:pgSz w:w="11900" w:h="16838" w:orient="portrait"/>
          <w:cols w:equalWidth="0" w:num="2">
            <w:col w:w="1580" w:space="240"/>
            <w:col w:w="7199"/>
          </w:cols>
          <w:pgMar w:left="1440" w:top="240" w:right="1440"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3"/>
          <w:szCs w:val="13"/>
          <w:b w:val="1"/>
          <w:bCs w:val="1"/>
          <w:color w:val="auto"/>
        </w:rPr>
        <w:t>Exhibit 7 -</w:t>
      </w:r>
    </w:p>
    <w:p>
      <w:pPr>
        <w:spacing w:after="0" w:line="20" w:lineRule="exact"/>
        <w:rPr>
          <w:sz w:val="20"/>
          <w:szCs w:val="20"/>
          <w:color w:val="auto"/>
        </w:rPr>
      </w:pPr>
      <w:r>
        <w:rPr>
          <w:sz w:val="20"/>
          <w:szCs w:val="20"/>
          <w:color w:val="auto"/>
        </w:rPr>
        <w:br w:type="column"/>
      </w:r>
    </w:p>
    <w:p>
      <w:pPr>
        <w:ind w:right="419"/>
        <w:spacing w:after="0" w:line="288" w:lineRule="auto"/>
        <w:rPr>
          <w:sz w:val="20"/>
          <w:szCs w:val="20"/>
          <w:color w:val="auto"/>
        </w:rPr>
      </w:pPr>
      <w:r>
        <w:rPr>
          <w:rFonts w:ascii="Times New Roman" w:cs="Times New Roman" w:eastAsia="Times New Roman" w:hAnsi="Times New Roman"/>
          <w:sz w:val="14"/>
          <w:szCs w:val="14"/>
          <w:color w:val="auto"/>
        </w:rPr>
        <w:t>A copy of the latest report of condition of the trustee published pursuant to law or the requirements of its supervising or examining authority.</w:t>
      </w:r>
    </w:p>
    <w:p>
      <w:pPr>
        <w:spacing w:after="0" w:line="37" w:lineRule="exact"/>
        <w:rPr>
          <w:sz w:val="20"/>
          <w:szCs w:val="20"/>
          <w:color w:val="auto"/>
        </w:rPr>
      </w:pPr>
    </w:p>
    <w:p>
      <w:pPr>
        <w:sectPr>
          <w:pgSz w:w="11900" w:h="16838" w:orient="portrait"/>
          <w:cols w:equalWidth="0" w:num="2">
            <w:col w:w="1580" w:space="240"/>
            <w:col w:w="7199"/>
          </w:cols>
          <w:pgMar w:left="1440" w:top="240" w:right="1440"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3"/>
          <w:szCs w:val="13"/>
          <w:b w:val="1"/>
          <w:bCs w:val="1"/>
          <w:color w:val="auto"/>
        </w:rPr>
        <w:t>Exhibit 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ectPr>
          <w:pgSz w:w="11900" w:h="16838" w:orient="portrait"/>
          <w:cols w:equalWidth="0" w:num="2">
            <w:col w:w="1580" w:space="240"/>
            <w:col w:w="7199"/>
          </w:cols>
          <w:pgMar w:left="1440" w:top="240" w:right="1440"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3"/>
          <w:szCs w:val="13"/>
          <w:b w:val="1"/>
          <w:bCs w:val="1"/>
          <w:color w:val="auto"/>
        </w:rPr>
        <w:t>Exhibit 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Not Applicable.</w:t>
      </w:r>
    </w:p>
    <w:p>
      <w:pPr>
        <w:sectPr>
          <w:pgSz w:w="11900" w:h="16838" w:orient="portrait"/>
          <w:cols w:equalWidth="0" w:num="2">
            <w:col w:w="1580" w:space="240"/>
            <w:col w:w="7199"/>
          </w:cols>
          <w:pgMar w:left="1440" w:top="240" w:right="1440" w:bottom="1440" w:gutter="0" w:footer="0" w:header="0"/>
          <w:type w:val="continuous"/>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SIGNATURE</w:t>
      </w:r>
    </w:p>
    <w:p>
      <w:pPr>
        <w:spacing w:after="0" w:line="181" w:lineRule="exact"/>
        <w:rPr>
          <w:sz w:val="20"/>
          <w:szCs w:val="20"/>
          <w:color w:val="auto"/>
        </w:rPr>
      </w:pPr>
    </w:p>
    <w:p>
      <w:pPr>
        <w:ind w:left="160" w:right="25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23rd day of July 2025.</w:t>
      </w:r>
    </w:p>
    <w:p>
      <w:pPr>
        <w:spacing w:after="0" w:line="1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DEUTSCHE BANK TRUST COMPANY AMERICAS</w:t>
      </w:r>
    </w:p>
    <w:p>
      <w:pPr>
        <w:spacing w:after="0" w:line="1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15240</wp:posOffset>
            </wp:positionV>
            <wp:extent cx="201993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2019935" cy="6985"/>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     Carol Ng</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     Vice President</w:t>
      </w:r>
    </w:p>
    <w:p>
      <w:pPr>
        <w:sectPr>
          <w:pgSz w:w="11900" w:h="16838" w:orient="portrait"/>
          <w:cols w:equalWidth="0" w:num="1">
            <w:col w:w="9019"/>
          </w:cols>
          <w:pgMar w:left="1440" w:top="240" w:right="1440" w:bottom="1440" w:gutter="0" w:footer="0" w:header="0"/>
        </w:sectPr>
      </w:pPr>
    </w:p>
    <w:bookmarkStart w:id="55" w:name="page56"/>
    <w:bookmarkEnd w:id="55"/>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Exhibit 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BY-LAWS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DEUTSCHE BANK TRUST COMPANY AMERICAS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STOCKHOLDERS</w:t>
      </w:r>
    </w:p>
    <w:p>
      <w:pPr>
        <w:spacing w:after="0" w:line="179" w:lineRule="exact"/>
        <w:rPr>
          <w:sz w:val="20"/>
          <w:szCs w:val="20"/>
          <w:color w:val="auto"/>
        </w:rPr>
      </w:pPr>
    </w:p>
    <w:p>
      <w:pPr>
        <w:jc w:val="both"/>
        <w:ind w:left="160" w:right="179" w:firstLine="347"/>
        <w:spacing w:after="0" w:line="265" w:lineRule="auto"/>
        <w:rPr>
          <w:sz w:val="20"/>
          <w:szCs w:val="20"/>
          <w:color w:val="auto"/>
        </w:rPr>
      </w:pP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stockholders of Deutsche Bank Trust Company Americas (the “Company”) shall be held in the City of New York within the State of New York within the first four months of the Company’s fiscal year, on such date and at such time and place as the board of directors of the Company (“Board of Directors” or “Board”) may designate in the call or in a waiver of notice thereof, for the purpose of electing directors and for the transaction of such other business as may properly be brought before the meeting.</w:t>
      </w:r>
    </w:p>
    <w:p>
      <w:pPr>
        <w:spacing w:after="0" w:line="140" w:lineRule="exact"/>
        <w:rPr>
          <w:sz w:val="20"/>
          <w:szCs w:val="20"/>
          <w:color w:val="auto"/>
        </w:rPr>
      </w:pPr>
    </w:p>
    <w:p>
      <w:pPr>
        <w:ind w:left="160" w:right="179" w:firstLine="347"/>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stockholders of the Company may be called by the Board of Directors or by the President, and shall be called by the President or by the Secretary upon the written request of the holders of record of at least twenty-five percent (25%) of the shares of stock of the Company issued and outstanding and entitled to vote, at such times. If for a period of thirteen months after the last annual meeting, there is a failure to elect a sufficient number of directors to conduct the business of the Company, the Board of Directors shall call a special meeting for the election of directors within two weeks after the expiration of such period; otherwise, holders of record of ten percent (10%) of the shares of stock of the Company entitled to vote in an election of directors may, in writing, demand the call of a special meeting at the office of the Company for the election of directors, specifying the date and month thereof, but not less than two nor more than three months from the date of such call. At any such special meeting called on demand of stockholders, the stockholders attending, in person or by proxy, and entitled to vote in an election of directors shall constitute a quorum for the purpose of electing directors, but not for the transaction of any other business.</w:t>
      </w:r>
    </w:p>
    <w:p>
      <w:pPr>
        <w:spacing w:after="0" w:line="145" w:lineRule="exact"/>
        <w:rPr>
          <w:sz w:val="20"/>
          <w:szCs w:val="20"/>
          <w:color w:val="auto"/>
        </w:rPr>
      </w:pPr>
    </w:p>
    <w:p>
      <w:pPr>
        <w:ind w:left="160" w:right="219" w:firstLine="347"/>
        <w:spacing w:after="0" w:line="260" w:lineRule="auto"/>
        <w:rPr>
          <w:sz w:val="20"/>
          <w:szCs w:val="20"/>
          <w:color w:val="auto"/>
        </w:rPr>
      </w:pP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Notice of Meetings</w:t>
      </w:r>
      <w:r>
        <w:rPr>
          <w:rFonts w:ascii="Times New Roman" w:cs="Times New Roman" w:eastAsia="Times New Roman" w:hAnsi="Times New Roman"/>
          <w:sz w:val="14"/>
          <w:szCs w:val="14"/>
          <w:color w:val="auto"/>
        </w:rPr>
        <w:t>. Notice of the time, place and purpose of every meeting of stockholders shall be delivered personally or mailed not less than 10 nor more than 50 days before the date of such meeting (or any other action) to each stockholder of record entitled to vote, at his post office address appearing upon the records of the Company or at such other address as shall be furnished in writing by him to the Secretary of the Company for such purpose. Such further notice shall be given as may be required by law or by these By-Laws. Any meeting may be held without notice if all stockholders entitled to vote are present in person or by proxy, or if notice is waived in writing, either before or after the meeting, by those not present.</w:t>
      </w:r>
    </w:p>
    <w:p>
      <w:pPr>
        <w:spacing w:after="0" w:line="145" w:lineRule="exact"/>
        <w:rPr>
          <w:sz w:val="20"/>
          <w:szCs w:val="20"/>
          <w:color w:val="auto"/>
        </w:rPr>
      </w:pPr>
    </w:p>
    <w:p>
      <w:pPr>
        <w:ind w:left="160" w:right="179" w:firstLine="347"/>
        <w:spacing w:after="0" w:line="265" w:lineRule="auto"/>
        <w:rPr>
          <w:sz w:val="20"/>
          <w:szCs w:val="20"/>
          <w:color w:val="auto"/>
        </w:rPr>
      </w:pP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Quorum</w:t>
      </w:r>
      <w:r>
        <w:rPr>
          <w:rFonts w:ascii="Times New Roman" w:cs="Times New Roman" w:eastAsia="Times New Roman" w:hAnsi="Times New Roman"/>
          <w:sz w:val="14"/>
          <w:szCs w:val="14"/>
          <w:color w:val="auto"/>
        </w:rPr>
        <w:t>. The holders of record of at least a majority of the shares of the stock of the Company issued and outstanding and entitled to vote, present in person or by proxy, shall, except as otherwise provided by law, by the Company’s Organization Certificate or by these By-Laws, constitute a quorum at all meetings of the stockholders; if there be no such quorum, the holders of a majority of such shares so present or represented may adjourn the meeting from time to time until a quorum shall have been obtained.</w:t>
      </w:r>
    </w:p>
    <w:p>
      <w:pPr>
        <w:spacing w:after="0" w:line="140" w:lineRule="exact"/>
        <w:rPr>
          <w:sz w:val="20"/>
          <w:szCs w:val="20"/>
          <w:color w:val="auto"/>
        </w:rPr>
      </w:pPr>
    </w:p>
    <w:p>
      <w:pPr>
        <w:ind w:left="160" w:right="25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Organization of Meetings</w:t>
      </w:r>
      <w:r>
        <w:rPr>
          <w:rFonts w:ascii="Times New Roman" w:cs="Times New Roman" w:eastAsia="Times New Roman" w:hAnsi="Times New Roman"/>
          <w:sz w:val="14"/>
          <w:szCs w:val="14"/>
          <w:color w:val="auto"/>
        </w:rPr>
        <w:t>. Meetings of the stockholders shall be presided over by the Chairman of the Board or, if he is not present, by the President or, if he is not present, by a chairman to be chosen at the meeting. The Secretary of the Company, or in his absence an Assistant Secretary, shall act as secretary of the meeting, if present.</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ectPr>
          <w:pgSz w:w="11900" w:h="16838" w:orient="portrait"/>
          <w:cols w:equalWidth="0" w:num="1">
            <w:col w:w="9019"/>
          </w:cols>
          <w:pgMar w:left="1440" w:top="240" w:right="1440" w:bottom="1440" w:gutter="0" w:footer="0" w:header="0"/>
        </w:sectPr>
      </w:pPr>
    </w:p>
    <w:bookmarkStart w:id="56" w:name="page57"/>
    <w:bookmarkEnd w:id="56"/>
    <w:p>
      <w:pPr>
        <w:ind w:left="160" w:right="219" w:firstLine="347"/>
        <w:spacing w:after="0" w:line="263"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Section 1.06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 At each meeting of stockholders, except as otherwise provided by statute, the Company’s Organization Certificate or these By-Laws, every holder of record of stock entitled to vote shall be entitled to one vote in person or by proxy for each share of such stock standing in his name on the records of the Company. Elections of directors shall be determined by a plurality of the votes cast thereat and, except as otherwise provided by statute, the Company’s Organization Certificate or these By-Laws, all other action shall be determined by a majority of the votes cast at such meeting.</w:t>
      </w:r>
    </w:p>
    <w:p>
      <w:pPr>
        <w:spacing w:after="0" w:line="316" w:lineRule="exact"/>
        <w:rPr>
          <w:sz w:val="20"/>
          <w:szCs w:val="20"/>
          <w:color w:val="auto"/>
        </w:rPr>
      </w:pPr>
    </w:p>
    <w:p>
      <w:pPr>
        <w:ind w:left="160" w:right="179" w:firstLine="347"/>
        <w:spacing w:after="0" w:line="288" w:lineRule="auto"/>
        <w:rPr>
          <w:sz w:val="20"/>
          <w:szCs w:val="20"/>
          <w:color w:val="auto"/>
        </w:rPr>
      </w:pPr>
      <w:r>
        <w:rPr>
          <w:rFonts w:ascii="Times New Roman" w:cs="Times New Roman" w:eastAsia="Times New Roman" w:hAnsi="Times New Roman"/>
          <w:sz w:val="14"/>
          <w:szCs w:val="14"/>
          <w:color w:val="auto"/>
        </w:rPr>
        <w:t>At all elections of directors, the voting shall be by ballot or in such other manner as may be determined by the stockholders present in person or by proxy entitled to vote at such election.</w:t>
      </w:r>
    </w:p>
    <w:p>
      <w:pPr>
        <w:spacing w:after="0" w:line="124" w:lineRule="exact"/>
        <w:rPr>
          <w:sz w:val="20"/>
          <w:szCs w:val="20"/>
          <w:color w:val="auto"/>
        </w:rPr>
      </w:pPr>
    </w:p>
    <w:p>
      <w:pPr>
        <w:ind w:left="160" w:right="21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Action by Consent</w:t>
      </w:r>
      <w:r>
        <w:rPr>
          <w:rFonts w:ascii="Times New Roman" w:cs="Times New Roman" w:eastAsia="Times New Roman" w:hAnsi="Times New Roman"/>
          <w:sz w:val="14"/>
          <w:szCs w:val="14"/>
          <w:color w:val="auto"/>
        </w:rPr>
        <w:t>. Except as may otherwise be provided in the Company’s Organization Certificate, any action required or permitted to be taken at any meeting of stockholders may be taken without a meeting, without prior notice and without a vote if, prior to such action, a written consent or consents thereto, setting forth such action, is signed by all the holders of record of shares of the stock of the Company, issued and outstanding and entitled to vote thereon, having not less than the minimum number of votes that would be necessary to authorize or take such action at a meeting at which all shares entitled to vote thereon were present and voted.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79" w:lineRule="exact"/>
        <w:rPr>
          <w:sz w:val="20"/>
          <w:szCs w:val="20"/>
          <w:color w:val="auto"/>
        </w:rPr>
      </w:pPr>
    </w:p>
    <w:p>
      <w:pPr>
        <w:ind w:left="160" w:right="21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Following the election of the Board of Directors at each annual meeting, the elected Board shall appoint one of its members as Chairman. The Chairman of the Board shall preside at all meetings of the Board of Directors and of the stockholders, and he shall perform such other duties and have such other powers as from time to time may be prescribed by the Board of Directors.</w:t>
      </w:r>
    </w:p>
    <w:p>
      <w:pPr>
        <w:spacing w:after="0" w:line="136" w:lineRule="exact"/>
        <w:rPr>
          <w:sz w:val="20"/>
          <w:szCs w:val="20"/>
          <w:color w:val="auto"/>
        </w:rPr>
      </w:pPr>
    </w:p>
    <w:p>
      <w:pPr>
        <w:jc w:val="both"/>
        <w:ind w:left="160" w:right="19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Lead Independent Director</w:t>
      </w:r>
      <w:r>
        <w:rPr>
          <w:rFonts w:ascii="Times New Roman" w:cs="Times New Roman" w:eastAsia="Times New Roman" w:hAnsi="Times New Roman"/>
          <w:sz w:val="14"/>
          <w:szCs w:val="14"/>
          <w:color w:val="auto"/>
        </w:rPr>
        <w:t>. Following the election of the Board of Directors at each annual meeting, the elected Board may appoint one of its independent members as its Lead Independent Director. When the Chairman of the Board is not present at a meeting of the Board of Directors, the Lead Independent Director, if there be one, shall preside.</w:t>
      </w:r>
    </w:p>
    <w:p>
      <w:pPr>
        <w:spacing w:after="0" w:line="136" w:lineRule="exact"/>
        <w:rPr>
          <w:sz w:val="20"/>
          <w:szCs w:val="20"/>
          <w:color w:val="auto"/>
        </w:rPr>
      </w:pPr>
    </w:p>
    <w:p>
      <w:pPr>
        <w:ind w:left="160" w:right="19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Director Emeritus</w:t>
      </w:r>
      <w:r>
        <w:rPr>
          <w:rFonts w:ascii="Times New Roman" w:cs="Times New Roman" w:eastAsia="Times New Roman" w:hAnsi="Times New Roman"/>
          <w:sz w:val="14"/>
          <w:szCs w:val="14"/>
          <w:color w:val="auto"/>
        </w:rPr>
        <w:t>. The Board of Directors may from time to time elect one or more Directors Emeritus. Each Director Emeritus shall be elected for a term expiring on the date of the regular meeting of the Board of Directors following the next annual meeting. No Director Emeritus shall be considered a “director” for purposes of these By-Laws or for any other purpose.</w:t>
      </w:r>
    </w:p>
    <w:p>
      <w:pPr>
        <w:spacing w:after="0" w:line="136" w:lineRule="exact"/>
        <w:rPr>
          <w:sz w:val="20"/>
          <w:szCs w:val="20"/>
          <w:color w:val="auto"/>
        </w:rPr>
      </w:pPr>
    </w:p>
    <w:p>
      <w:pPr>
        <w:ind w:left="160" w:right="19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Powers, Number, Quorum, Term, Vacancies, Removal</w:t>
      </w:r>
      <w:r>
        <w:rPr>
          <w:rFonts w:ascii="Times New Roman" w:cs="Times New Roman" w:eastAsia="Times New Roman" w:hAnsi="Times New Roman"/>
          <w:sz w:val="14"/>
          <w:szCs w:val="14"/>
          <w:color w:val="auto"/>
        </w:rPr>
        <w:t>. The business and affairs of the Company shall be managed by or under the direction of the Board of Directors which may exercise all such powers of the Company and do all such lawful acts and things as are not by statute or by the Company’s Organization Certificate or by these By-Laws required to be exercised or done by the stockholders.</w:t>
      </w:r>
    </w:p>
    <w:p>
      <w:pPr>
        <w:spacing w:after="0" w:line="136" w:lineRule="exact"/>
        <w:rPr>
          <w:sz w:val="20"/>
          <w:szCs w:val="20"/>
          <w:color w:val="auto"/>
        </w:rPr>
      </w:pPr>
    </w:p>
    <w:p>
      <w:pPr>
        <w:ind w:left="160" w:right="199" w:firstLine="347"/>
        <w:spacing w:after="0" w:line="265" w:lineRule="auto"/>
        <w:rPr>
          <w:sz w:val="20"/>
          <w:szCs w:val="20"/>
          <w:color w:val="auto"/>
        </w:rPr>
      </w:pPr>
      <w:r>
        <w:rPr>
          <w:rFonts w:ascii="Times New Roman" w:cs="Times New Roman" w:eastAsia="Times New Roman" w:hAnsi="Times New Roman"/>
          <w:sz w:val="14"/>
          <w:szCs w:val="14"/>
          <w:color w:val="auto"/>
        </w:rPr>
        <w:t>The number of directors may be changed by a resolution passed by a majority of the members of the Board of Directors or by a vote of the holders of record of at least a majority of the shares of stock of the Company issued and outstanding and entitled to vote, but at all times the Board of Directors must consist of not less than seven nor more than thirty directors. No more than one-third of the directors shall be active officers or employees of the Company. At least one-half of the directors must be citizens of the United States at the time of their election and during their continuance in office.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ectPr>
          <w:pgSz w:w="11900" w:h="16838" w:orient="portrait"/>
          <w:cols w:equalWidth="0" w:num="1">
            <w:col w:w="9019"/>
          </w:cols>
          <w:pgMar w:left="1440" w:top="242" w:right="1440" w:bottom="1440" w:gutter="0" w:footer="0" w:header="0"/>
        </w:sectPr>
      </w:pPr>
    </w:p>
    <w:bookmarkStart w:id="57" w:name="page58"/>
    <w:bookmarkEnd w:id="57"/>
    <w:p>
      <w:pPr>
        <w:ind w:left="160" w:right="179" w:firstLine="347"/>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Except as otherwise required by law, rule or regulation, or by the Company’s Organization Certificate, at all meetings of the Board of Directors or any committee thereof, a majority of the entire Board of Directors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of Directors, or such committee, as applicable. Any one or more members of the Board may participate in a meeting of the Board by means of a conference telephone or video, or other similar communications equipment allowing all persons participating in the meeting to hear each other at the same time. Participation by such means shall constitute presence in person at a meeting. Whether or not a quorum shall be present at any meeting of the Board of Directors or a committee thereof, a majority of the directors present thereat may adjourn the meeting from time to time; notice of the adjourned meeting shall be given to the directors who were not present at the time of the adjournment, but if the time and place of the adjourned meeting are announced, no additional notice shall be required to be given to the directors present at the time of adjournment.</w:t>
      </w:r>
    </w:p>
    <w:p>
      <w:pPr>
        <w:spacing w:after="0" w:line="145" w:lineRule="exact"/>
        <w:rPr>
          <w:sz w:val="20"/>
          <w:szCs w:val="20"/>
          <w:color w:val="auto"/>
        </w:rPr>
      </w:pPr>
    </w:p>
    <w:p>
      <w:pPr>
        <w:ind w:left="160" w:right="199" w:firstLine="347"/>
        <w:spacing w:after="0" w:line="271" w:lineRule="auto"/>
        <w:rPr>
          <w:sz w:val="20"/>
          <w:szCs w:val="20"/>
          <w:color w:val="auto"/>
        </w:rPr>
      </w:pPr>
      <w:r>
        <w:rPr>
          <w:rFonts w:ascii="Times New Roman" w:cs="Times New Roman" w:eastAsia="Times New Roman" w:hAnsi="Times New Roman"/>
          <w:sz w:val="14"/>
          <w:szCs w:val="14"/>
          <w:color w:val="auto"/>
        </w:rPr>
        <w:t>Directors shall hold office until the next annual election and until their successors shall have been elected and shall have qualified. Director vacancies not exceeding one-third of the whole number of the Board of Directors may be filled by the affirmative vote of a majority of the directors then in office, and the directors so elected shall hold office for the balance of the unexpired term.</w:t>
      </w:r>
    </w:p>
    <w:p>
      <w:pPr>
        <w:spacing w:after="0" w:line="136" w:lineRule="exact"/>
        <w:rPr>
          <w:sz w:val="20"/>
          <w:szCs w:val="20"/>
          <w:color w:val="auto"/>
        </w:rPr>
      </w:pPr>
    </w:p>
    <w:p>
      <w:pPr>
        <w:ind w:left="160" w:right="219" w:firstLine="347"/>
        <w:spacing w:after="0" w:line="265" w:lineRule="auto"/>
        <w:rPr>
          <w:sz w:val="20"/>
          <w:szCs w:val="20"/>
          <w:color w:val="auto"/>
        </w:rPr>
      </w:pPr>
      <w:r>
        <w:rPr>
          <w:rFonts w:ascii="Times New Roman" w:cs="Times New Roman" w:eastAsia="Times New Roman" w:hAnsi="Times New Roman"/>
          <w:sz w:val="14"/>
          <w:szCs w:val="14"/>
          <w:color w:val="auto"/>
        </w:rPr>
        <w:t>Any one or more of the directors of the Company may be removed either with or without cause at any time by a vote of the holders of record of at least a majority of the shares of stock of the Company, issued and outstanding and entitled to vote, and thereupon the term of the director or directors who shall have been so removed shall forthwith terminate and there shall be a vacancy or vacancies in the Board of Directors, to be filled by a vote of the stockholders as provided in these By-Laws.</w:t>
      </w:r>
    </w:p>
    <w:p>
      <w:pPr>
        <w:spacing w:after="0" w:line="140" w:lineRule="exact"/>
        <w:rPr>
          <w:sz w:val="20"/>
          <w:szCs w:val="20"/>
          <w:color w:val="auto"/>
        </w:rPr>
      </w:pPr>
    </w:p>
    <w:p>
      <w:pPr>
        <w:ind w:left="160" w:right="199" w:firstLine="347"/>
        <w:spacing w:after="0" w:line="260" w:lineRule="auto"/>
        <w:rPr>
          <w:sz w:val="20"/>
          <w:szCs w:val="20"/>
          <w:color w:val="auto"/>
        </w:rPr>
      </w:pP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Meetings, Notice</w:t>
      </w:r>
      <w:r>
        <w:rPr>
          <w:rFonts w:ascii="Times New Roman" w:cs="Times New Roman" w:eastAsia="Times New Roman" w:hAnsi="Times New Roman"/>
          <w:sz w:val="14"/>
          <w:szCs w:val="14"/>
          <w:color w:val="auto"/>
        </w:rPr>
        <w:t>. Meetings of the Board of Directors shall be held at such place either within or without the State of New York, as may from time to time be fixed by resolution of the Board, or as may be specified in the call or in a waiver of notice thereof. Regular meetings of the Board of Directors and its Executive Committee shall be held as often as may be required under applicable law, and special meetings may be held at any time upon the call of two directors, the Chairman of the Board or the President, by oral, telegraphic or written notice duly served on or sent or mailed to each director not less than two days before such meeting. Any meeting may be held without notice, if all directors are present, or if notice is waived in writing, either before or after the meeting, by those not present.</w:t>
      </w:r>
    </w:p>
    <w:p>
      <w:pPr>
        <w:spacing w:after="0" w:line="145" w:lineRule="exact"/>
        <w:rPr>
          <w:sz w:val="20"/>
          <w:szCs w:val="20"/>
          <w:color w:val="auto"/>
        </w:rPr>
      </w:pPr>
    </w:p>
    <w:p>
      <w:pPr>
        <w:ind w:left="160" w:right="39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Compensation</w:t>
      </w:r>
      <w:r>
        <w:rPr>
          <w:rFonts w:ascii="Times New Roman" w:cs="Times New Roman" w:eastAsia="Times New Roman" w:hAnsi="Times New Roman"/>
          <w:sz w:val="14"/>
          <w:szCs w:val="14"/>
          <w:color w:val="auto"/>
        </w:rPr>
        <w:t>. The Board of Directors may determine, from time to time, the amount of compensation, which shall be paid to its members. The Board of Directors shall also have power, in its discretion, to allow a fixed sum and expenses for attendance at each regular or special meeting of the Board, or of any committee of the Board. The Board of Directors shall also have power, in its discretion, to provide for and pay to directors rendering services to the Company not ordinarily rendered by directors, as such, special compensation appropriate to the value of such services, as determined by the Board from time to time.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79" w:lineRule="exact"/>
        <w:rPr>
          <w:sz w:val="20"/>
          <w:szCs w:val="20"/>
          <w:color w:val="auto"/>
        </w:rPr>
      </w:pPr>
    </w:p>
    <w:p>
      <w:pPr>
        <w:ind w:left="160" w:right="299" w:firstLine="347"/>
        <w:spacing w:after="0" w:line="288" w:lineRule="auto"/>
        <w:rPr>
          <w:sz w:val="20"/>
          <w:szCs w:val="20"/>
          <w:color w:val="auto"/>
        </w:rPr>
      </w:pP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There shall be an Executive Committee of the Board who shall be appointed annually by resolution adopted by the majority of the entire Board of Directors. The Chairman of the Board shall preside at meetings of the Executive Committee. In his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ectPr>
          <w:pgSz w:w="11900" w:h="16838" w:orient="portrait"/>
          <w:cols w:equalWidth="0" w:num="1">
            <w:col w:w="9019"/>
          </w:cols>
          <w:pgMar w:left="1440" w:top="242" w:right="1440" w:bottom="1440" w:gutter="0" w:footer="0" w:header="0"/>
        </w:sectPr>
      </w:pPr>
    </w:p>
    <w:bookmarkStart w:id="58" w:name="page59"/>
    <w:bookmarkEnd w:id="58"/>
    <w:p>
      <w:pPr>
        <w:ind w:left="160" w:right="539"/>
        <w:spacing w:after="0" w:line="28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absence, the Chief Executive Officer or, in his absence, the President or any Co-President or, in their absence, such other member of the Executive Committee as the Executive Committee from time to time may designate shall preside at such meetings. </w:t>
      </w:r>
    </w:p>
    <w:p>
      <w:pPr>
        <w:spacing w:after="0" w:line="124" w:lineRule="exact"/>
        <w:rPr>
          <w:sz w:val="20"/>
          <w:szCs w:val="20"/>
          <w:color w:val="auto"/>
        </w:rPr>
      </w:pPr>
    </w:p>
    <w:p>
      <w:pPr>
        <w:jc w:val="both"/>
        <w:ind w:left="160" w:right="37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Audit and Fiduciary Committee</w:t>
      </w:r>
      <w:r>
        <w:rPr>
          <w:rFonts w:ascii="Times New Roman" w:cs="Times New Roman" w:eastAsia="Times New Roman" w:hAnsi="Times New Roman"/>
          <w:sz w:val="14"/>
          <w:szCs w:val="14"/>
          <w:color w:val="auto"/>
        </w:rPr>
        <w:t>. There shall be an Audit and Fiduciary Committee appointed annually by resolution adopted by a majority of the entire Board of Directors which shall consist of such number of independent directors, as may from time to time be fixed by the Audit and Fiduciary Committee charter adopted by the Board of Directors.</w:t>
      </w:r>
    </w:p>
    <w:p>
      <w:pPr>
        <w:spacing w:after="0" w:line="136" w:lineRule="exact"/>
        <w:rPr>
          <w:sz w:val="20"/>
          <w:szCs w:val="20"/>
          <w:color w:val="auto"/>
        </w:rPr>
      </w:pPr>
    </w:p>
    <w:p>
      <w:pPr>
        <w:ind w:left="160" w:right="27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of Directors shall have the power to appoint any other Committees as may seem necessary, and from time to time to suspend or continue the powers and duties of such Committees. Each Committee appointed pursuant to this Article shall serve at the pleasure of the Board of Directors.</w:t>
      </w:r>
    </w:p>
    <w:p>
      <w:pPr>
        <w:spacing w:after="0" w:line="136" w:lineRule="exact"/>
        <w:rPr>
          <w:sz w:val="20"/>
          <w:szCs w:val="20"/>
          <w:color w:val="auto"/>
        </w:rPr>
      </w:pPr>
    </w:p>
    <w:p>
      <w:pPr>
        <w:ind w:left="160" w:right="179" w:firstLine="347"/>
        <w:spacing w:after="0" w:line="260" w:lineRule="auto"/>
        <w:rPr>
          <w:sz w:val="20"/>
          <w:szCs w:val="20"/>
          <w:color w:val="auto"/>
        </w:rPr>
      </w:pPr>
      <w:r>
        <w:rPr>
          <w:rFonts w:ascii="Times New Roman" w:cs="Times New Roman" w:eastAsia="Times New Roman" w:hAnsi="Times New Roman"/>
          <w:sz w:val="14"/>
          <w:szCs w:val="14"/>
          <w:u w:val="single" w:color="auto"/>
          <w:color w:val="auto"/>
        </w:rPr>
        <w:t>Section 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Limitations</w:t>
      </w:r>
      <w:r>
        <w:rPr>
          <w:rFonts w:ascii="Times New Roman" w:cs="Times New Roman" w:eastAsia="Times New Roman" w:hAnsi="Times New Roman"/>
          <w:sz w:val="14"/>
          <w:szCs w:val="14"/>
          <w:color w:val="auto"/>
        </w:rPr>
        <w:t>. No committee shall have the authority as to the following matters: (i) the submission to stockholders of any action that needs stockholders’ authorization under New York Banking Law; (ii) the filling of vacancies in the Board of Directors or in any such committee; (iii) the fixing of compensation of the directors for serving on the Board of Directors or on any committee; (iv) the amendment or repeal of these By-Laws, or the adoption of new by-laws; (v) the amendment or repeal of any resolution of the Board of Directors which by its terms shall not be so amendable or repealable; or (vi) the taking of action which is expressly required by any provision of New York Banking Law to be taken at a meeting of the Board of Directors or by a specified proportion of the directors.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IV</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79" w:lineRule="exact"/>
        <w:rPr>
          <w:sz w:val="20"/>
          <w:szCs w:val="20"/>
          <w:color w:val="auto"/>
        </w:rPr>
      </w:pPr>
    </w:p>
    <w:p>
      <w:pPr>
        <w:ind w:left="160" w:right="21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Titles and Election</w:t>
      </w:r>
      <w:r>
        <w:rPr>
          <w:rFonts w:ascii="Times New Roman" w:cs="Times New Roman" w:eastAsia="Times New Roman" w:hAnsi="Times New Roman"/>
          <w:sz w:val="14"/>
          <w:szCs w:val="14"/>
          <w:color w:val="auto"/>
        </w:rPr>
        <w:t>. The officers of the Company, who shall be chosen by the Board of Directors within twenty-five days after each annual meeting of stockholders, shall be a President, Chief Executive Officer, Chief Risk Officer, Chief Financial Officer, Treasurer, Secretary, and a General Auditor. The Board of Directors from time to time may elect one or more Managing Directors, Directors, Vice Presidents, Assistant Secretaries, Assistant Treasurers and such other officers and agents as it shall deem necessary, and may define their powers and duties. Any number of offices may be held by the same person, except the offices of President and Secretary.</w:t>
      </w:r>
    </w:p>
    <w:p>
      <w:pPr>
        <w:spacing w:after="0" w:line="143" w:lineRule="exact"/>
        <w:rPr>
          <w:sz w:val="20"/>
          <w:szCs w:val="20"/>
          <w:color w:val="auto"/>
        </w:rPr>
      </w:pPr>
    </w:p>
    <w:p>
      <w:pPr>
        <w:ind w:left="160" w:right="459" w:firstLine="347"/>
        <w:spacing w:after="0" w:line="288" w:lineRule="auto"/>
        <w:rPr>
          <w:sz w:val="20"/>
          <w:szCs w:val="20"/>
          <w:color w:val="auto"/>
        </w:rPr>
      </w:pP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Terms of Office</w:t>
      </w:r>
      <w:r>
        <w:rPr>
          <w:rFonts w:ascii="Times New Roman" w:cs="Times New Roman" w:eastAsia="Times New Roman" w:hAnsi="Times New Roman"/>
          <w:sz w:val="14"/>
          <w:szCs w:val="14"/>
          <w:color w:val="auto"/>
        </w:rPr>
        <w:t>. Each officer shall hold office for the term for which he is elected or appointed, and until his successor has been elected or appointed and qualified.</w:t>
      </w:r>
    </w:p>
    <w:p>
      <w:pPr>
        <w:spacing w:after="0" w:line="124" w:lineRule="exact"/>
        <w:rPr>
          <w:sz w:val="20"/>
          <w:szCs w:val="20"/>
          <w:color w:val="auto"/>
        </w:rPr>
      </w:pPr>
    </w:p>
    <w:p>
      <w:pPr>
        <w:ind w:left="160" w:right="279" w:firstLine="347"/>
        <w:spacing w:after="0" w:line="288" w:lineRule="auto"/>
        <w:rPr>
          <w:sz w:val="20"/>
          <w:szCs w:val="20"/>
          <w:color w:val="auto"/>
        </w:rPr>
      </w:pP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Removal</w:t>
      </w:r>
      <w:r>
        <w:rPr>
          <w:rFonts w:ascii="Times New Roman" w:cs="Times New Roman" w:eastAsia="Times New Roman" w:hAnsi="Times New Roman"/>
          <w:sz w:val="14"/>
          <w:szCs w:val="14"/>
          <w:color w:val="auto"/>
        </w:rPr>
        <w:t>. Any officer may be removed, either with or without cause, at any time, by the affirmative vote of a majority of the Board of Directors.</w:t>
      </w:r>
    </w:p>
    <w:p>
      <w:pPr>
        <w:spacing w:after="0" w:line="124" w:lineRule="exact"/>
        <w:rPr>
          <w:sz w:val="20"/>
          <w:szCs w:val="20"/>
          <w:color w:val="auto"/>
        </w:rPr>
      </w:pPr>
    </w:p>
    <w:p>
      <w:pPr>
        <w:ind w:left="160" w:right="67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Resignations</w:t>
      </w:r>
      <w:r>
        <w:rPr>
          <w:rFonts w:ascii="Times New Roman" w:cs="Times New Roman" w:eastAsia="Times New Roman" w:hAnsi="Times New Roman"/>
          <w:sz w:val="14"/>
          <w:szCs w:val="14"/>
          <w:color w:val="auto"/>
        </w:rPr>
        <w:t>. Any officer may resign at any time by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136" w:lineRule="exact"/>
        <w:rPr>
          <w:sz w:val="20"/>
          <w:szCs w:val="20"/>
          <w:color w:val="auto"/>
        </w:rPr>
      </w:pPr>
    </w:p>
    <w:p>
      <w:pPr>
        <w:jc w:val="both"/>
        <w:ind w:left="160" w:right="25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4.05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If the office of any officer or agent becomes vacant by reason of death, resignation, retirement, disqualification, removal from office or otherwise, the Board of Directors may choose a successor, who shall hold office for the unexpired term in respect of which such vacancy occurred.</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9019"/>
          </w:cols>
          <w:pgMar w:left="1440" w:top="242" w:right="1440" w:bottom="1440" w:gutter="0" w:footer="0" w:header="0"/>
        </w:sectPr>
      </w:pPr>
    </w:p>
    <w:bookmarkStart w:id="59" w:name="page60"/>
    <w:bookmarkEnd w:id="59"/>
    <w:p>
      <w:pPr>
        <w:ind w:left="160" w:right="17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Section 4.06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President shall have general authority to exercise all the powers necessary for the President of the Company. In the absence of the Chairman and the Lead Independent Director, the President shall preside at all meetings of the Board of Directors and of the stockholders. The President shall have the power to execute bonds, mortgages and other contracts, agreements and instruments of the Company, and he shall perform such other duties and have such other powers as may be incident to the office of the president of a corporation and as from time to time may otherwise be prescribed by the Board of Directors.</w:t>
      </w:r>
    </w:p>
    <w:p>
      <w:pPr>
        <w:spacing w:after="0" w:line="143" w:lineRule="exact"/>
        <w:rPr>
          <w:sz w:val="20"/>
          <w:szCs w:val="20"/>
          <w:color w:val="auto"/>
        </w:rPr>
      </w:pPr>
    </w:p>
    <w:p>
      <w:pPr>
        <w:ind w:left="160" w:right="219" w:firstLine="347"/>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4.07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Chief Executive Officer</w:t>
      </w:r>
      <w:r>
        <w:rPr>
          <w:rFonts w:ascii="Times New Roman" w:cs="Times New Roman" w:eastAsia="Times New Roman" w:hAnsi="Times New Roman"/>
          <w:sz w:val="14"/>
          <w:szCs w:val="14"/>
          <w:color w:val="auto"/>
        </w:rPr>
        <w:t>. Unless otherwise determined by the Board of Directors, the President shall be the Chief Executive Officer of the Company. The Chief Executive Officer shall exercise the powers and perform the duties usual to the chief executive officer and, subject to the control of the Board of Directors, shall have general management and control of the affairs and business of the Company; he shall appoint and discharge employees and agents of the Company (other than officers elected by the Board of Directors); he shall see that all orders and resolutions of the Board of Directors are carried into effect; he shall have the power to execute bonds, mortgages and other contracts, agreements and instruments of the Company, and he shall perform such other duties and have such other powers as may be incident to the office of the chief executive officer of a corporation and as from time to time may otherwise be prescribed by the Board of Directors.</w:t>
      </w:r>
    </w:p>
    <w:p>
      <w:pPr>
        <w:spacing w:after="0" w:line="146" w:lineRule="exact"/>
        <w:rPr>
          <w:sz w:val="20"/>
          <w:szCs w:val="20"/>
          <w:color w:val="auto"/>
        </w:rPr>
      </w:pPr>
    </w:p>
    <w:p>
      <w:pPr>
        <w:ind w:left="160" w:right="259" w:firstLine="347"/>
        <w:spacing w:after="0" w:line="265" w:lineRule="auto"/>
        <w:rPr>
          <w:sz w:val="20"/>
          <w:szCs w:val="20"/>
          <w:color w:val="auto"/>
        </w:rPr>
      </w:pPr>
      <w:r>
        <w:rPr>
          <w:rFonts w:ascii="Times New Roman" w:cs="Times New Roman" w:eastAsia="Times New Roman" w:hAnsi="Times New Roman"/>
          <w:sz w:val="14"/>
          <w:szCs w:val="14"/>
          <w:u w:val="single" w:color="auto"/>
          <w:color w:val="auto"/>
        </w:rPr>
        <w:t>Section 4.08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Chief Risk Officer</w:t>
      </w:r>
      <w:r>
        <w:rPr>
          <w:rFonts w:ascii="Times New Roman" w:cs="Times New Roman" w:eastAsia="Times New Roman" w:hAnsi="Times New Roman"/>
          <w:sz w:val="14"/>
          <w:szCs w:val="14"/>
          <w:color w:val="auto"/>
        </w:rPr>
        <w:t>. The Chief Risk Officer shall have the responsibility for the risk management and monitoring of the Company. The Chief Risk Officer shall have the power to execute bonds, notes, mortgages and other contracts, agreements and instruments of the Company, and he shall perform such other duties and have such other powers as may be incident to his office and as from time to time may otherwise be prescribed by the Board of Directors.</w:t>
      </w:r>
    </w:p>
    <w:p>
      <w:pPr>
        <w:spacing w:after="0" w:line="140" w:lineRule="exact"/>
        <w:rPr>
          <w:sz w:val="20"/>
          <w:szCs w:val="20"/>
          <w:color w:val="auto"/>
        </w:rPr>
      </w:pPr>
    </w:p>
    <w:p>
      <w:pPr>
        <w:ind w:left="160" w:right="23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4.09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Chief Financial Officer</w:t>
      </w:r>
      <w:r>
        <w:rPr>
          <w:rFonts w:ascii="Times New Roman" w:cs="Times New Roman" w:eastAsia="Times New Roman" w:hAnsi="Times New Roman"/>
          <w:sz w:val="14"/>
          <w:szCs w:val="14"/>
          <w:color w:val="auto"/>
        </w:rPr>
        <w:t>. The Chief Financial Officer shall have the responsibility for reporting to the Board of Directors on the financial condition of the Company, preparing and submitting all financial reports required by applicable law, and preparing annual financial statements of the Company and coordinating with qualified third party auditors to ensure such financial statements are audited in accordance with applicable law.</w:t>
      </w:r>
    </w:p>
    <w:p>
      <w:pPr>
        <w:spacing w:after="0" w:line="136" w:lineRule="exact"/>
        <w:rPr>
          <w:sz w:val="20"/>
          <w:szCs w:val="20"/>
          <w:color w:val="auto"/>
        </w:rPr>
      </w:pPr>
    </w:p>
    <w:p>
      <w:pPr>
        <w:ind w:left="160" w:right="29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4.10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Treasurer</w:t>
      </w:r>
      <w:r>
        <w:rPr>
          <w:rFonts w:ascii="Times New Roman" w:cs="Times New Roman" w:eastAsia="Times New Roman" w:hAnsi="Times New Roman"/>
          <w:sz w:val="14"/>
          <w:szCs w:val="14"/>
          <w:color w:val="auto"/>
        </w:rPr>
        <w:t>. The Treasurer shall have the custody of the corporate funds and securities and shall keep full and accurate accounts of receipts and disbursements in books belonging to the Company and shall deposit all moneys, and other valuable effects in the name and to the credit of the Company, in such depositories as may be designated by the Board of Directors. He shall disburse the funds of the Company as may be ordered by the Board, taking proper vouchers for such disbursements, and shall render to the directors whenever they may require it an account of all his transactions as Treasurer and of the financial condition of the Company.</w:t>
      </w:r>
    </w:p>
    <w:p>
      <w:pPr>
        <w:spacing w:after="0" w:line="143" w:lineRule="exact"/>
        <w:rPr>
          <w:sz w:val="20"/>
          <w:szCs w:val="20"/>
          <w:color w:val="auto"/>
        </w:rPr>
      </w:pPr>
    </w:p>
    <w:p>
      <w:pPr>
        <w:ind w:left="160" w:right="279" w:firstLine="347"/>
        <w:spacing w:after="0" w:line="260" w:lineRule="auto"/>
        <w:rPr>
          <w:sz w:val="20"/>
          <w:szCs w:val="20"/>
          <w:color w:val="auto"/>
        </w:rPr>
      </w:pP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Secretary shall attend all sessions of the Board of Directors and all meetings of the stockholders and record all votes and the minutes of proceedings in records or books to be kept for that purpose. He shall give, or cause to be given, notice of all meetings of the stockholders and of the Board of Directors and shall perform such other duties and have such other powers as may be incident to the office of the secretary of a corporation and as from time to time may otherwise be prescribed by the Board of Directors. The Secretary shall have and be the custodian of the stock records and all other books, records and papers of the Company (other than financial) and shall see that all books, reports, statements, certificates and other documents and records required by law are properly kept and filed.</w:t>
      </w:r>
    </w:p>
    <w:p>
      <w:pPr>
        <w:spacing w:after="0" w:line="145" w:lineRule="exact"/>
        <w:rPr>
          <w:sz w:val="20"/>
          <w:szCs w:val="20"/>
          <w:color w:val="auto"/>
        </w:rPr>
      </w:pPr>
    </w:p>
    <w:p>
      <w:pPr>
        <w:ind w:left="160" w:right="339" w:firstLine="347"/>
        <w:spacing w:after="0" w:line="288" w:lineRule="auto"/>
        <w:rPr>
          <w:sz w:val="20"/>
          <w:szCs w:val="20"/>
          <w:color w:val="auto"/>
        </w:rPr>
      </w:pPr>
      <w:r>
        <w:rPr>
          <w:rFonts w:ascii="Times New Roman" w:cs="Times New Roman" w:eastAsia="Times New Roman" w:hAnsi="Times New Roman"/>
          <w:sz w:val="14"/>
          <w:szCs w:val="14"/>
          <w:u w:val="single" w:color="auto"/>
          <w:color w:val="auto"/>
        </w:rPr>
        <w:t>Section 4.12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General Auditor</w:t>
      </w:r>
      <w:r>
        <w:rPr>
          <w:rFonts w:ascii="Times New Roman" w:cs="Times New Roman" w:eastAsia="Times New Roman" w:hAnsi="Times New Roman"/>
          <w:sz w:val="14"/>
          <w:szCs w:val="14"/>
          <w:color w:val="auto"/>
        </w:rPr>
        <w:t>. The General Auditor shall be responsible, through the Audit and Fiduciary Committee, to the Board of Directors for the determination of the program of the</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9019"/>
          </w:cols>
          <w:pgMar w:left="1440" w:top="242" w:right="1440" w:bottom="1440" w:gutter="0" w:footer="0" w:header="0"/>
        </w:sectPr>
      </w:pPr>
    </w:p>
    <w:bookmarkStart w:id="60" w:name="page61"/>
    <w:bookmarkEnd w:id="60"/>
    <w:p>
      <w:pPr>
        <w:ind w:left="160" w:right="21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internal audit function and the evaluation of the adequacy of the system of internal controls. Subject to the Board of Directors, the General Auditor shall have and may exercise all the powers and shall perform all the duties usual to such office and shall have such other powers as may be prescribed or assigned to him from time to time by the Board of Directors or vested in him by law or by these By-Laws. He shall perform such other duties and shall make such investigations, examinations and reports as may be prescribed or required by the Audit and Fiduciary Committee. The General Auditor shall have unrestricted access to all records and premises of the Company and shall delegate such authority to his subordinates. He shall have the duty to report to the Audit and Fiduciary Committee on all matters concerning the internal audit program and the adequacy of the system of internal controls of the Company which he deems advisable or which the Audit and Fiduciary Committee may request.</w:t>
      </w:r>
    </w:p>
    <w:p>
      <w:pPr>
        <w:spacing w:after="0" w:line="146" w:lineRule="exact"/>
        <w:rPr>
          <w:sz w:val="20"/>
          <w:szCs w:val="20"/>
          <w:color w:val="auto"/>
        </w:rPr>
      </w:pPr>
    </w:p>
    <w:p>
      <w:pPr>
        <w:ind w:left="160" w:right="19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4.13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Managing Directors, Directors and Vice Presidents</w:t>
      </w:r>
      <w:r>
        <w:rPr>
          <w:rFonts w:ascii="Times New Roman" w:cs="Times New Roman" w:eastAsia="Times New Roman" w:hAnsi="Times New Roman"/>
          <w:sz w:val="14"/>
          <w:szCs w:val="14"/>
          <w:color w:val="auto"/>
        </w:rPr>
        <w:t>. If chosen, the Managing Directors, Directors and Vice Presidents, in the order of their seniority, shall, in the absence or disability of the President, exercise all of the powers and duties of the President. Such Managing Directors, Directors and Vice Presidents shall have the power to execute bonds, notes, mortgages and other contracts, agreements and instruments of the Company, and they shall perform such other duties and have such other powers as may be incident to their respective offices and as from time to time may be prescribed by the Board of Directors or the President.</w:t>
      </w:r>
    </w:p>
    <w:p>
      <w:pPr>
        <w:spacing w:after="0" w:line="143" w:lineRule="exact"/>
        <w:rPr>
          <w:sz w:val="20"/>
          <w:szCs w:val="20"/>
          <w:color w:val="auto"/>
        </w:rPr>
      </w:pPr>
    </w:p>
    <w:p>
      <w:pPr>
        <w:ind w:left="160" w:right="259" w:firstLine="347"/>
        <w:spacing w:after="0" w:line="288" w:lineRule="auto"/>
        <w:rPr>
          <w:sz w:val="20"/>
          <w:szCs w:val="20"/>
          <w:color w:val="auto"/>
        </w:rPr>
      </w:pPr>
      <w:r>
        <w:rPr>
          <w:rFonts w:ascii="Times New Roman" w:cs="Times New Roman" w:eastAsia="Times New Roman" w:hAnsi="Times New Roman"/>
          <w:sz w:val="14"/>
          <w:szCs w:val="14"/>
          <w:u w:val="single" w:color="auto"/>
          <w:color w:val="auto"/>
        </w:rPr>
        <w:t>Section 4.14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Duties of Officers may be Delegated</w:t>
      </w:r>
      <w:r>
        <w:rPr>
          <w:rFonts w:ascii="Times New Roman" w:cs="Times New Roman" w:eastAsia="Times New Roman" w:hAnsi="Times New Roman"/>
          <w:sz w:val="14"/>
          <w:szCs w:val="14"/>
          <w:color w:val="auto"/>
        </w:rPr>
        <w:t>. In case of the absence or disability of any officer of the Company, or for any other reason that the Board may deem sufficient, the Board may delegate, for the time being, the powers or duties, or any of them, of such officer to any other officer.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INDEMNIFICATION OF DIRECTORS, OFFICERS AND OTHERS</w:t>
      </w:r>
    </w:p>
    <w:p>
      <w:pPr>
        <w:spacing w:after="0" w:line="179" w:lineRule="exact"/>
        <w:rPr>
          <w:sz w:val="20"/>
          <w:szCs w:val="20"/>
          <w:color w:val="auto"/>
        </w:rPr>
      </w:pPr>
    </w:p>
    <w:p>
      <w:pPr>
        <w:ind w:left="160" w:right="179" w:firstLine="347"/>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Power to Indemnify in Actions, Suits or Proceedings other than Those by or in the Right of the Company</w:t>
      </w:r>
      <w:r>
        <w:rPr>
          <w:rFonts w:ascii="Times New Roman" w:cs="Times New Roman" w:eastAsia="Times New Roman" w:hAnsi="Times New Roman"/>
          <w:sz w:val="14"/>
          <w:szCs w:val="14"/>
          <w:color w:val="auto"/>
        </w:rPr>
        <w:t>. Subject to the other provisions of this Article V, and subject to applicable law, the Company shall indemnify any person made or threatened to be made a party to an action or proceeding (other than one by or in the right of the Company to procure a judgment in its favor), whether civil or criminal, including an action by or in the right of any other corporation of any type or kind, domestic or foreign, or any partnership, joint venture, trust, employee benefit plan or other enterprise, which any director or officer of the Company served in any capacity at the request of the Company, by reason of the fact that such person, his or her testator or intestate, was a director or officer of the Company, or served such other corporation, partnership, joint venture, trust, employee benefit plan or other enterprise in any capacity, against judgments, fines, amounts paid in settlement and reasonable expenses, including attorneys’ fees actually and necessarily incurred as a result of such action or proceeding, or any appeal therein, if such director or officer acted, in good faith, for a purpose which such person reasonably believed to be in, or, in the case of service for any other corporation or any partnership, joint venture, trust, employee benefit plan or other enterprise, not opposed to, the best interests of the Company, and had no reasonable cause to believe that such person’s conduct was unlawful. </w:t>
      </w:r>
    </w:p>
    <w:p>
      <w:pPr>
        <w:spacing w:after="0" w:line="319" w:lineRule="exact"/>
        <w:rPr>
          <w:sz w:val="20"/>
          <w:szCs w:val="20"/>
          <w:color w:val="auto"/>
        </w:rPr>
      </w:pPr>
    </w:p>
    <w:p>
      <w:pPr>
        <w:ind w:left="160" w:right="25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Power to Indemnify in Actions, Suits or Proceedings by or in the Right of the Company</w:t>
      </w:r>
      <w:r>
        <w:rPr>
          <w:rFonts w:ascii="Times New Roman" w:cs="Times New Roman" w:eastAsia="Times New Roman" w:hAnsi="Times New Roman"/>
          <w:sz w:val="14"/>
          <w:szCs w:val="14"/>
          <w:color w:val="auto"/>
        </w:rPr>
        <w:t>. Subject to the other provisions of this Article V, and subject to applicable law, the Company shall indemnify any person made, or threatened to be made, a party to an action by or in the right of the Company to procure a judgment in its favor by reason of the fact that such person, his or her testator or intestate, is or was a director or officer of the Company, or is or was serving at the request of the Company as a director or officer of any other corporation of any type or kind, domestic or foreign, of any partnership, joint venture, trust, employee benefit plan or other enterprise,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- 6 -</w:t>
      </w:r>
    </w:p>
    <w:p>
      <w:pPr>
        <w:sectPr>
          <w:pgSz w:w="11900" w:h="16838" w:orient="portrait"/>
          <w:cols w:equalWidth="0" w:num="1">
            <w:col w:w="9019"/>
          </w:cols>
          <w:pgMar w:left="1440" w:top="242" w:right="1440" w:bottom="1440" w:gutter="0" w:footer="0" w:header="0"/>
        </w:sectPr>
      </w:pPr>
    </w:p>
    <w:bookmarkStart w:id="61" w:name="page62"/>
    <w:bookmarkEnd w:id="61"/>
    <w:p>
      <w:pPr>
        <w:ind w:left="160" w:right="1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against amounts paid in settlement and reasonable expenses, including attorneys’ fees, actually and necessarily incurred by such person in connection with the defense or settlement of such action, or in connection with an appeal therein, if such director or officer acted, in good faith, for a purpose which he reasonably believed to be in, or, in the case of service for any other corporation or any partnership, joint venture, trust, employee benefit plan or other enterprise, not opposed to, the best interests of the Company, except that no indemnification under this Section 5.02 shall be made in respect of (a) a threatened action, or a pending action which is settled or otherwise disposed of, or (b) any claim, issue or matter as to which such person shall have been adjudged to be liable to the Company, unless and only to the extent that the court in which the action was brought, or, if no action was brought, any court of competent jurisdiction, determines upon application that, in view of all the circumstances of the case, the person is fairly and reasonably entitled to indemnity for such portion of the settlement amount and expenses as the court deems proper.</w:t>
      </w:r>
    </w:p>
    <w:p>
      <w:pPr>
        <w:spacing w:after="0" w:line="148" w:lineRule="exact"/>
        <w:rPr>
          <w:sz w:val="20"/>
          <w:szCs w:val="20"/>
          <w:color w:val="auto"/>
        </w:rPr>
      </w:pPr>
    </w:p>
    <w:p>
      <w:pPr>
        <w:ind w:left="160" w:right="419" w:firstLine="347"/>
        <w:spacing w:after="0" w:line="260" w:lineRule="auto"/>
        <w:rPr>
          <w:sz w:val="20"/>
          <w:szCs w:val="20"/>
          <w:color w:val="auto"/>
        </w:rPr>
      </w:pP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Authorization of Indemnification</w:t>
      </w:r>
      <w:r>
        <w:rPr>
          <w:rFonts w:ascii="Times New Roman" w:cs="Times New Roman" w:eastAsia="Times New Roman" w:hAnsi="Times New Roman"/>
          <w:sz w:val="14"/>
          <w:szCs w:val="14"/>
          <w:color w:val="auto"/>
        </w:rPr>
        <w:t>. Any indemnification under this Article V (unless ordered by a court) shall be made by the Company only if authorized in the specific case (i) by the Board acting by a quorum consisting of directors who are not parties to such action or proceeding upon a finding that the director or officer has met the standard of conduct set forth in Section 5.01 or Section 5.02, as the case may be; or</w:t>
      </w:r>
    </w:p>
    <w:p>
      <w:pPr>
        <w:spacing w:after="0" w:line="2" w:lineRule="exact"/>
        <w:rPr>
          <w:sz w:val="20"/>
          <w:szCs w:val="20"/>
          <w:color w:val="auto"/>
        </w:rPr>
      </w:pPr>
    </w:p>
    <w:p>
      <w:pPr>
        <w:ind w:left="160" w:right="339" w:firstLine="3"/>
        <w:spacing w:after="0" w:line="256" w:lineRule="auto"/>
        <w:tabs>
          <w:tab w:leader="none" w:pos="369"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quorum is not obtainable or, even if obtainable, a quorum of disinterested directors so directs, (x) by the Board upon the opinion in writing of independent legal counsel that indemnification is proper in the circumstances because the applicable standard of conduct set forth in Section 5.01 or Section 5.02, as the case may be, has been met by such director or officer; or (y) by the stockholders upon a finding that the director or officer has met the applicable standard of conduct set forth in Section 5.01 or Section 5.02, as the case may be. A person who has been successful on the merits or otherwise, in the defense of a civil or criminal action or proceeding of the character described in Sections 5.01 or 5.02, shall be entitled to indemnification as authorized in such section.</w:t>
      </w:r>
    </w:p>
    <w:p>
      <w:pPr>
        <w:spacing w:after="0" w:line="147" w:lineRule="exact"/>
        <w:rPr>
          <w:sz w:val="20"/>
          <w:szCs w:val="20"/>
          <w:color w:val="auto"/>
        </w:rPr>
      </w:pPr>
    </w:p>
    <w:p>
      <w:pPr>
        <w:ind w:left="160" w:right="179" w:firstLine="347"/>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5.04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Good Faith Defined</w:t>
      </w:r>
      <w:r>
        <w:rPr>
          <w:rFonts w:ascii="Times New Roman" w:cs="Times New Roman" w:eastAsia="Times New Roman" w:hAnsi="Times New Roman"/>
          <w:sz w:val="14"/>
          <w:szCs w:val="14"/>
          <w:color w:val="auto"/>
        </w:rPr>
        <w:t>. For purposes of any determination under Section 5.03, a person shall be deemed to have acted in good faith and in a manner such person reasonably believed to be in or not opposed to the best interests of the Company, or to have had no reasonable cause to believe such person’s conduct was unlawful, if such person’s action is based on the records or books of account of the Company or another enterprise, or on information supplied to such person by the officers of the Company or another enterprise in the course of their duties, or on the advice of legal counsel for the Company or another enterprise or on information or records given or reports made to the Company or another enterprise by an independent certified public accountant or by an appraiser or other expert selected with reasonable care by the Company or another enterprise. The provisions of this Section 5.04 shall not be deemed to be exclusive or to limit in any way the circumstances in which a person may be deemed to have met the applicable standard of conduct set forth in Section 5.01 or Section 5.02, as the case may be.</w:t>
      </w:r>
    </w:p>
    <w:p>
      <w:pPr>
        <w:spacing w:after="0" w:line="148" w:lineRule="exact"/>
        <w:rPr>
          <w:sz w:val="20"/>
          <w:szCs w:val="20"/>
          <w:color w:val="auto"/>
        </w:rPr>
      </w:pPr>
    </w:p>
    <w:p>
      <w:pPr>
        <w:ind w:left="160" w:right="199" w:firstLine="347"/>
        <w:spacing w:after="0" w:line="260" w:lineRule="auto"/>
        <w:rPr>
          <w:sz w:val="20"/>
          <w:szCs w:val="20"/>
          <w:color w:val="auto"/>
        </w:rPr>
      </w:pPr>
      <w:r>
        <w:rPr>
          <w:rFonts w:ascii="Times New Roman" w:cs="Times New Roman" w:eastAsia="Times New Roman" w:hAnsi="Times New Roman"/>
          <w:sz w:val="14"/>
          <w:szCs w:val="14"/>
          <w:u w:val="single" w:color="auto"/>
          <w:color w:val="auto"/>
        </w:rPr>
        <w:t>Section 5.05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Serving an Employee Benefit Plan on behalf of the Company</w:t>
      </w:r>
      <w:r>
        <w:rPr>
          <w:rFonts w:ascii="Times New Roman" w:cs="Times New Roman" w:eastAsia="Times New Roman" w:hAnsi="Times New Roman"/>
          <w:sz w:val="14"/>
          <w:szCs w:val="14"/>
          <w:color w:val="auto"/>
        </w:rPr>
        <w:t>. For the purpose of this Article V, the Company shall be deemed to have requested a person to serve an employee benefit plan where the performance by such person of his duties to the Company also imposes duties on, or otherwise involves services by, such person to the plan or participants or beneficiaries of the plan; excise taxes assessed on a person with respect to an employee benefit plan pursuant to applicable law shall be considered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Company.</w:t>
      </w:r>
    </w:p>
    <w:p>
      <w:pPr>
        <w:spacing w:after="0" w:line="145" w:lineRule="exact"/>
        <w:rPr>
          <w:sz w:val="20"/>
          <w:szCs w:val="20"/>
          <w:color w:val="auto"/>
        </w:rPr>
      </w:pPr>
    </w:p>
    <w:p>
      <w:pPr>
        <w:ind w:left="160" w:right="399" w:firstLine="347"/>
        <w:spacing w:after="0" w:line="288" w:lineRule="auto"/>
        <w:rPr>
          <w:sz w:val="20"/>
          <w:szCs w:val="20"/>
          <w:color w:val="auto"/>
        </w:rPr>
      </w:pPr>
      <w:r>
        <w:rPr>
          <w:rFonts w:ascii="Times New Roman" w:cs="Times New Roman" w:eastAsia="Times New Roman" w:hAnsi="Times New Roman"/>
          <w:sz w:val="14"/>
          <w:szCs w:val="14"/>
          <w:u w:val="single" w:color="auto"/>
          <w:color w:val="auto"/>
        </w:rPr>
        <w:t>Section 5.06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Indemnification upon Application to a Court</w:t>
      </w:r>
      <w:r>
        <w:rPr>
          <w:rFonts w:ascii="Times New Roman" w:cs="Times New Roman" w:eastAsia="Times New Roman" w:hAnsi="Times New Roman"/>
          <w:sz w:val="14"/>
          <w:szCs w:val="14"/>
          <w:color w:val="auto"/>
        </w:rPr>
        <w:t>. Notwithstanding the failure of the Company to provide indemnification and despite any contrary resolution of the Board or stockholders under Section 5.03, or in the event that no determination has been made within ninety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- 7 -</w:t>
      </w:r>
    </w:p>
    <w:p>
      <w:pPr>
        <w:sectPr>
          <w:pgSz w:w="11900" w:h="16838" w:orient="portrait"/>
          <w:cols w:equalWidth="0" w:num="1">
            <w:col w:w="9019"/>
          </w:cols>
          <w:pgMar w:left="1440" w:top="242" w:right="1440" w:bottom="1440" w:gutter="0" w:footer="0" w:header="0"/>
        </w:sectPr>
      </w:pPr>
    </w:p>
    <w:bookmarkStart w:id="62" w:name="page63"/>
    <w:bookmarkEnd w:id="62"/>
    <w:p>
      <w:pPr>
        <w:ind w:left="160" w:right="21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days after receipt of the Company of a written claim therefor, upon application to a court by a director or officer, indemnification shall be awarded by a court to the extent authorized in Section 5.01 or Section 5.02. Such application shall be upon notice to the Company. Neither a contrary determination in the specific case under Section 5.03 nor the absence of any determination thereunder shall be a defense to such application or create a presumption that the director or officer seeking indemnification has not met any applicable standard of conduct.</w:t>
      </w:r>
    </w:p>
    <w:p>
      <w:pPr>
        <w:spacing w:after="0" w:line="140" w:lineRule="exact"/>
        <w:rPr>
          <w:sz w:val="20"/>
          <w:szCs w:val="20"/>
          <w:color w:val="auto"/>
        </w:rPr>
      </w:pPr>
    </w:p>
    <w:p>
      <w:pPr>
        <w:ind w:left="160" w:right="239" w:firstLine="347"/>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Expenses Payable in Advance</w:t>
      </w:r>
      <w:r>
        <w:rPr>
          <w:rFonts w:ascii="Times New Roman" w:cs="Times New Roman" w:eastAsia="Times New Roman" w:hAnsi="Times New Roman"/>
          <w:sz w:val="14"/>
          <w:szCs w:val="14"/>
          <w:color w:val="auto"/>
        </w:rPr>
        <w:t>. Subject to the other provisions of this Article V, and subject to applicable law, expenses incurred in defending a civil or criminal action or proceeding may be paid by the Company in advance of the final disposition of such action or proceeding upon receipt of an undertaking by or on behalf of such director or officer to repay such amount (i) if it shall ultimately be determined that such person is not entitled to be indemnified by the Company as authorized in this Article V, (ii) where indemnification is granted, to the extent expenses so advanced by the Company or allowed by a court exceed the indemnification to which such person is entitled and (iii) upon such other terms and conditions, if any, as the Company deems appropriate. Any such advancement of expenses shall be made in the sole and absolute discretion of the Company only as authorized in the specific case upon a determination made, with respect to a person who is a director or officer at the time of such determination, (i) by the Board acting by a quorum consisting of directors who are not parties to such action or proceeding, or (ii) if a quorum is not obtainable or, even if obtainable, if a quorum of disinterested directors so directs, (x) by the Board upon the opinion in writing of independent legal counsel or (y) by the stockholders and, with respect to former directors and officers, by any person or persons having the authority to act on the matter on behalf of the Company. Without limiting the foregoing, the Company reserves the right in its sole and absolute discretion to revoke at any time any approval previously granted in respect of any such request for the advancement of expenses or to, in its sole and absolute discretion, impose limits or conditions in respect of any such approval.</w:t>
      </w:r>
    </w:p>
    <w:p>
      <w:pPr>
        <w:spacing w:after="0" w:line="151" w:lineRule="exact"/>
        <w:rPr>
          <w:sz w:val="20"/>
          <w:szCs w:val="20"/>
          <w:color w:val="auto"/>
        </w:rPr>
      </w:pPr>
    </w:p>
    <w:p>
      <w:pPr>
        <w:ind w:left="160" w:right="219" w:firstLine="347"/>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5.08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Nonexclusivity of Indemnification and Advancement of Expenses</w:t>
      </w:r>
      <w:r>
        <w:rPr>
          <w:rFonts w:ascii="Times New Roman" w:cs="Times New Roman" w:eastAsia="Times New Roman" w:hAnsi="Times New Roman"/>
          <w:sz w:val="14"/>
          <w:szCs w:val="14"/>
          <w:color w:val="auto"/>
        </w:rPr>
        <w:t>. The indemnification and advancement of expenses granted pursuant to, or provided by, this Article V shall not be deemed exclusive of any other rights to which a director or officer seeking indemnification or advancement of expenses may be entitled whether contained in the Company’s Organization Certificate, these By-Laws or, when authorized by the Organization Certificate or these By-Laws, (i) a resolution of stockholders, (ii) a resolution of directors, or (iii) an agreement providing for such indemnification, provided that no indemnification may be made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Nothing contained in this Article V shall affect any rights to indemnification to which corporate personnel other than directors and officers may be entitled by contract or otherwise under law.</w:t>
      </w:r>
    </w:p>
    <w:p>
      <w:pPr>
        <w:spacing w:after="0" w:line="145" w:lineRule="exact"/>
        <w:rPr>
          <w:sz w:val="20"/>
          <w:szCs w:val="20"/>
          <w:color w:val="auto"/>
        </w:rPr>
      </w:pPr>
    </w:p>
    <w:p>
      <w:pPr>
        <w:ind w:left="160" w:right="199" w:firstLine="347"/>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5.09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Subject to the other provisions of this Article V, the Company may purchase and maintain insurance (in a single contract or supplement thereto, but not in a retrospective rated contract): (i) to indemnify the Company for any obligation which it incurs as a result of the indemnification of directors and officers under the provisions of this Article V, (ii) to indemnify directors and officers in instances in which they may be indemnified by the Company under the provisions of this Article V and applicable law, and (iii) to indemnify directors and officers in instances in which they may not otherwise be indemnified by the Company under the provisions of this Article V, provided the contract of insurance covering such directors and officers provides, in a manner acceptable to the New York Superintendent of Financial Services, for a retention amount and for co-insurance. Notwithstanding the foregoing, any such insurance shall be subject to the provisions of, and the Company shall comply with the requirements set forth in, Section 7023 of the New York State Banking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- 8 -</w:t>
      </w:r>
    </w:p>
    <w:p>
      <w:pPr>
        <w:sectPr>
          <w:pgSz w:w="11900" w:h="16838" w:orient="portrait"/>
          <w:cols w:equalWidth="0" w:num="1">
            <w:col w:w="9019"/>
          </w:cols>
          <w:pgMar w:left="1440" w:top="242" w:right="1440" w:bottom="1440" w:gutter="0" w:footer="0" w:header="0"/>
        </w:sectPr>
      </w:pPr>
    </w:p>
    <w:bookmarkStart w:id="63" w:name="page64"/>
    <w:bookmarkEnd w:id="63"/>
    <w:p>
      <w:pPr>
        <w:ind w:left="160" w:right="199" w:firstLine="347"/>
        <w:spacing w:after="0" w:line="256"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Section 5.10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Limitations on Indemnification and Insurance</w:t>
      </w:r>
      <w:r>
        <w:rPr>
          <w:rFonts w:ascii="Times New Roman" w:cs="Times New Roman" w:eastAsia="Times New Roman" w:hAnsi="Times New Roman"/>
          <w:sz w:val="14"/>
          <w:szCs w:val="14"/>
          <w:color w:val="auto"/>
        </w:rPr>
        <w:t>. All indemnification and insurance provisions contained in this Article V are subject to any limitations and prohibitions under applicable law, including but not limited to Section 7022 (with respect to indemnification, advancement or allowance) and Section 7023 (with respect to insurance) of the New York State Banking Law and the Federal Deposit Insurance Act (with respect to administrative proceedings or civil actions initiated by any federal banking agency). Notwithstanding anything contained in this Article V to the contrary, no indemnification, advancement or allowance shall be made (i)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or (ii) in any circumstance where it appears (a) that the indemnification would be inconsistent with a provision of the Company’s Organization Certificate, these By-Laws, a resolution of the Board or of the stockholders, an agreement or other proper corporate action, in effect at the time of the accrual of the alleged cause of action asserted in the threatened or pending action or proceeding in which the expenses were incurred or other amounts were paid, which prohibits or otherwise limits indemnification; or (b) if there has been a settlement approved by the court, that the indemnification would be inconsistent with any condition with respect to indemnification expressly imposed by the court in approving the settlement.</w:t>
      </w:r>
    </w:p>
    <w:p>
      <w:pPr>
        <w:spacing w:after="0" w:line="152" w:lineRule="exact"/>
        <w:rPr>
          <w:sz w:val="20"/>
          <w:szCs w:val="20"/>
          <w:color w:val="auto"/>
        </w:rPr>
      </w:pPr>
    </w:p>
    <w:p>
      <w:pPr>
        <w:ind w:left="160" w:right="179" w:firstLine="347"/>
        <w:spacing w:after="0" w:line="256" w:lineRule="auto"/>
        <w:rPr>
          <w:sz w:val="20"/>
          <w:szCs w:val="20"/>
          <w:color w:val="auto"/>
        </w:rPr>
      </w:pPr>
      <w:r>
        <w:rPr>
          <w:rFonts w:ascii="Times New Roman" w:cs="Times New Roman" w:eastAsia="Times New Roman" w:hAnsi="Times New Roman"/>
          <w:sz w:val="14"/>
          <w:szCs w:val="14"/>
          <w:color w:val="auto"/>
        </w:rPr>
        <w:t>Notwithstanding anything contained in this Article V to the contrary, but subject to any requirements of applicable law, (i) except for proceedings to enforce rights to indemnification (which shall be governed by Section 5.06), the Company shall not be obligated to indemnify any director or officer (or his testators intestate) or advance expenses in connection with a proceeding (or part thereof) initiated by such person unless such proceeding (or part thereof) was authorized or consented to by the Board of Directors of the Company, (ii) with respect to indemnification or advancement of expenses relating to attorneys’ fees under this Article V, counsel for the present or former director or officer must be reasonably acceptable to the Company (and the Company may, in its sole and absolute discretion, establish a panel of approved law firms for such purpose, out of which the present or former director or officer could be required to select an approved law firm to represent him), (iii) indemnification in respect of amounts paid in settlement shall be subject to the prior consent of the Company (not to be unreasonably withheld), (iv) any and all obligations of the Corporation under this Article V shall be subject to applicable law, (v) in no event shall any payments pursuant to this Article V be made if duplicative of any indemnification or advancement of expenses or other reimbursement available to the applicable director or officer (other than for coverage maintained by such person in his individual capacity), and (vi) no indemnification or advancement of expenses shall be provided under these By-Laws to any person in respect of any expenses, judgments, fines or amounts paid in settlement to the extent incurred by such person in his capacity or position with another entity (including, without limitation, an entity that is a stockholder of the Company or any of the branches or affiliates of such stockholder), except as expressly provided in these By-Laws in respect of such person’s capacity and position as a director or officer of the Company or such person is a director or officer of the Company serving at the request of the Company as a director, officer, employee or agent of another corporation, partnership, joint venture, trust or other enterprise.</w:t>
      </w:r>
    </w:p>
    <w:p>
      <w:pPr>
        <w:spacing w:after="0" w:line="318" w:lineRule="exact"/>
        <w:rPr>
          <w:sz w:val="20"/>
          <w:szCs w:val="20"/>
          <w:color w:val="auto"/>
        </w:rPr>
      </w:pPr>
    </w:p>
    <w:p>
      <w:pPr>
        <w:ind w:left="160" w:right="23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Indemnification of Other Persons</w:t>
      </w:r>
      <w:r>
        <w:rPr>
          <w:rFonts w:ascii="Times New Roman" w:cs="Times New Roman" w:eastAsia="Times New Roman" w:hAnsi="Times New Roman"/>
          <w:sz w:val="14"/>
          <w:szCs w:val="14"/>
          <w:color w:val="auto"/>
        </w:rPr>
        <w:t>. The Company may, to the extent authorized from time to time by the Board of Directors, provide rights to indemnification and to the advancement of expenses (whether pursuant to an adoption of a policy or otherwise) to employees and agents of the Company (whether similar to those conferred in this Article V upon directors and officers of the Company or on other terms and conditions authorized from time to time by the Board of Directors), as well as to employees of direct and indirect subsidiaries of the Company and to other persons (or categories of persons) approved from time to time by the Board of Directors.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- 9 -</w:t>
      </w:r>
    </w:p>
    <w:p>
      <w:pPr>
        <w:sectPr>
          <w:pgSz w:w="11900" w:h="16838" w:orient="portrait"/>
          <w:cols w:equalWidth="0" w:num="1">
            <w:col w:w="9019"/>
          </w:cols>
          <w:pgMar w:left="1440" w:top="242" w:right="1440" w:bottom="1440" w:gutter="0" w:footer="0" w:header="0"/>
        </w:sectPr>
      </w:pPr>
    </w:p>
    <w:bookmarkStart w:id="64" w:name="page65"/>
    <w:bookmarkEnd w:id="64"/>
    <w:p>
      <w:pPr>
        <w:ind w:left="160" w:right="25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Section 5.12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Repeal</w:t>
      </w:r>
      <w:r>
        <w:rPr>
          <w:rFonts w:ascii="Times New Roman" w:cs="Times New Roman" w:eastAsia="Times New Roman" w:hAnsi="Times New Roman"/>
          <w:sz w:val="14"/>
          <w:szCs w:val="14"/>
          <w:color w:val="auto"/>
        </w:rPr>
        <w:t>. Any repeal or modification of this Article V shall not adversely affect any rights to indemnification and to the advancement of expenses of a director, officer, employee or agent of the Company existing at the time of such repeal or modification with respect to any acts or omissions occurring prior to such repeal or modification.</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CAPITAL STOCK</w:t>
      </w:r>
    </w:p>
    <w:p>
      <w:pPr>
        <w:spacing w:after="0" w:line="179" w:lineRule="exact"/>
        <w:rPr>
          <w:sz w:val="20"/>
          <w:szCs w:val="20"/>
          <w:color w:val="auto"/>
        </w:rPr>
      </w:pPr>
    </w:p>
    <w:p>
      <w:pPr>
        <w:ind w:left="160" w:right="179" w:firstLine="347"/>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Certificates</w:t>
      </w:r>
      <w:r>
        <w:rPr>
          <w:rFonts w:ascii="Times New Roman" w:cs="Times New Roman" w:eastAsia="Times New Roman" w:hAnsi="Times New Roman"/>
          <w:sz w:val="14"/>
          <w:szCs w:val="14"/>
          <w:color w:val="auto"/>
        </w:rPr>
        <w:t>. The interest of each stockholder of the Company shall be evidenced by certificates for shares of stock in such form as the Board of Directors may from time to time prescribe. The certificates of stock shall be signed by the Chairman of the Board or the President or a Managing Director or a Director or a Vice President and by the Secretary, or the Treasurer, or an Assistant Secretary, or an Assistant Treasurer, sealed with the seal of the Company or a facsimile thereof, and countersigned and registered in such manner, if any, as the Board of Directors may by resolution prescribe. Where any such certificate is countersigned by a transfer agent other than the Company or its employee, or registered by a registrar other than the Company or its employee, the signature of any such officer may be a facsimile signature. In case any officer or officers who shall have signed, or whose facsimile signature or signatures shall have been used on, any such certificate or certificates shall cease to be such officer or officers of the Company, whether because of death, resignation, retirement, disqualification, removal or otherwise, before such certificate or certificates shall have been delivered by the Company, such certificate or certificates may nevertheless be adopted by the Company and be issued and delivered as though the person or persons who signed such certificate or certificates or whose facsimile signature or signatures shall have been used thereon had not ceased to be such officer or officers of the Company.</w:t>
      </w:r>
    </w:p>
    <w:p>
      <w:pPr>
        <w:spacing w:after="0" w:line="146" w:lineRule="exact"/>
        <w:rPr>
          <w:sz w:val="20"/>
          <w:szCs w:val="20"/>
          <w:color w:val="auto"/>
        </w:rPr>
      </w:pPr>
    </w:p>
    <w:p>
      <w:pPr>
        <w:ind w:left="160" w:right="379" w:firstLine="347"/>
        <w:spacing w:after="0" w:line="265" w:lineRule="auto"/>
        <w:rPr>
          <w:sz w:val="20"/>
          <w:szCs w:val="20"/>
          <w:color w:val="auto"/>
        </w:rPr>
      </w:pPr>
      <w:r>
        <w:rPr>
          <w:rFonts w:ascii="Times New Roman" w:cs="Times New Roman" w:eastAsia="Times New Roman" w:hAnsi="Times New Roman"/>
          <w:sz w:val="14"/>
          <w:szCs w:val="14"/>
          <w:u w:val="single" w:color="auto"/>
          <w:color w:val="auto"/>
        </w:rPr>
        <w:t>Section 6.02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The shares of stock of the Company shall be transferred only upon the books of the Company by the holder thereof in person or by his attorney, upon surrender for cancellation of certificates for the same number of shares, with an assignment and power of transfer endorsed thereon or attached thereto, duly executed, with such proof of the authenticity of the signature as the Company or its agents may reasonably require.</w:t>
      </w:r>
    </w:p>
    <w:p>
      <w:pPr>
        <w:spacing w:after="0" w:line="140" w:lineRule="exact"/>
        <w:rPr>
          <w:sz w:val="20"/>
          <w:szCs w:val="20"/>
          <w:color w:val="auto"/>
        </w:rPr>
      </w:pPr>
    </w:p>
    <w:p>
      <w:pPr>
        <w:ind w:left="160" w:right="179" w:firstLine="347"/>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6.03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Record Dates</w:t>
      </w:r>
      <w:r>
        <w:rPr>
          <w:rFonts w:ascii="Times New Roman" w:cs="Times New Roman" w:eastAsia="Times New Roman" w:hAnsi="Times New Roman"/>
          <w:sz w:val="14"/>
          <w:szCs w:val="14"/>
          <w:color w:val="auto"/>
        </w:rPr>
        <w:t>. The Board of Directors may fix in advance a date, not less than 10 nor more than 50 days preceding the date of any meeting of stockholders, or the date for the payment of any dividend, or the date for the distribution or allotment of any rights, or the date when any change, conversion or exchange of capital stock shall go into effect, as a record date for the determination of the stockholders entitled to notice of, and to vote at, any such meeting, or entitled to receive payment of any such dividend, or to receive any distribution or allotment of such rights, or to exercise the rights in respect of any such change, conversion or exchange of capital stock, and in such case only such stockholders as shall be stockholders of record on the date so fixed shall be entitled to such notice of, and to vote at, such meeting, or to receive payment of such dividend, or to receive such distribution or allotment or rights or to exercise such rights, as the case may be, notwithstanding any transfer of any stock on the books of the Company after any such record date fixed as aforesaid.</w:t>
      </w:r>
    </w:p>
    <w:p>
      <w:pPr>
        <w:spacing w:after="0" w:line="148" w:lineRule="exact"/>
        <w:rPr>
          <w:sz w:val="20"/>
          <w:szCs w:val="20"/>
          <w:color w:val="auto"/>
        </w:rPr>
      </w:pPr>
    </w:p>
    <w:p>
      <w:pPr>
        <w:ind w:left="160" w:right="19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Lost Certificates</w:t>
      </w:r>
      <w:r>
        <w:rPr>
          <w:rFonts w:ascii="Times New Roman" w:cs="Times New Roman" w:eastAsia="Times New Roman" w:hAnsi="Times New Roman"/>
          <w:sz w:val="14"/>
          <w:szCs w:val="14"/>
          <w:color w:val="auto"/>
        </w:rPr>
        <w:t>. In the event that any certificate of stock is lost, stolen, destroyed or mutilated, the Board of Directors may authorize the issuance of a new certificate of the same tenor and for the same number of shares in lieu thereof. The Board may in its discretion, before the issuance of such new certificate, require the owner of the lost, stolen, destroyed or mutilated certificate or the legal representative of the owner to make an affidavit or affirmation setting forth such facts as to the loss, destruction or mutilation as it deems necessary and to give the Company a bond in such reasonable sum as it directs to indemnify the Company.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- 10 -</w:t>
      </w:r>
    </w:p>
    <w:p>
      <w:pPr>
        <w:sectPr>
          <w:pgSz w:w="11900" w:h="16838" w:orient="portrait"/>
          <w:cols w:equalWidth="0" w:num="1">
            <w:col w:w="9019"/>
          </w:cols>
          <w:pgMar w:left="1440" w:top="242"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VII</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CHECKS, NOTES, ETC.</w:t>
      </w:r>
    </w:p>
    <w:p>
      <w:pPr>
        <w:spacing w:after="0" w:line="179" w:lineRule="exact"/>
        <w:rPr>
          <w:sz w:val="20"/>
          <w:szCs w:val="20"/>
          <w:color w:val="auto"/>
        </w:rPr>
      </w:pPr>
    </w:p>
    <w:p>
      <w:pPr>
        <w:ind w:left="160" w:right="299" w:firstLine="347"/>
        <w:spacing w:after="0" w:line="265" w:lineRule="auto"/>
        <w:rPr>
          <w:sz w:val="20"/>
          <w:szCs w:val="20"/>
          <w:color w:val="auto"/>
        </w:rPr>
      </w:pP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Checks, Notes, Etc</w:t>
      </w:r>
      <w:r>
        <w:rPr>
          <w:rFonts w:ascii="Times New Roman" w:cs="Times New Roman" w:eastAsia="Times New Roman" w:hAnsi="Times New Roman"/>
          <w:sz w:val="14"/>
          <w:szCs w:val="14"/>
          <w:color w:val="auto"/>
        </w:rPr>
        <w:t>. All checks and drafts on the Company’s bank accounts and all bills of exchange and promissory notes, and all acceptances, obligations and other instruments for the payment of money, may be signed by the President or any Managing Director or any Director or any Vice President and may also be signed by such other officer or officers, agent or agents, as shall be thereunto authorized from time to time by the Board of Directors.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Company shall be from January 1 to December 31, unless changed by the Board of Directors.</w:t>
      </w:r>
    </w:p>
    <w:p>
      <w:pPr>
        <w:spacing w:after="0" w:line="179" w:lineRule="exact"/>
        <w:rPr>
          <w:sz w:val="20"/>
          <w:szCs w:val="20"/>
          <w:color w:val="auto"/>
        </w:rPr>
      </w:pPr>
    </w:p>
    <w:p>
      <w:pPr>
        <w:ind w:left="160" w:right="339" w:firstLine="347"/>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Books</w:t>
      </w:r>
      <w:r>
        <w:rPr>
          <w:rFonts w:ascii="Times New Roman" w:cs="Times New Roman" w:eastAsia="Times New Roman" w:hAnsi="Times New Roman"/>
          <w:sz w:val="14"/>
          <w:szCs w:val="14"/>
          <w:color w:val="auto"/>
        </w:rPr>
        <w:t>. There shall be kept at such office of the Company as the Board of Directors shall determine, within or without the State of New York, correct books and records of account of all its business and transactions, minutes of the proceedings of its stockholders, Board of Directors and committees, and the stock book, containing the names and addresses of the stockholders, the number of shares held by them, respectively, and the dates when they respectively became the owners of record thereof, and in which the transfer of stock shall be registered, and such other books and records as the Board of Directors may from time to time determine.</w:t>
      </w:r>
    </w:p>
    <w:p>
      <w:pPr>
        <w:spacing w:after="0" w:line="143" w:lineRule="exact"/>
        <w:rPr>
          <w:sz w:val="20"/>
          <w:szCs w:val="20"/>
          <w:color w:val="auto"/>
        </w:rPr>
      </w:pPr>
    </w:p>
    <w:p>
      <w:pPr>
        <w:jc w:val="both"/>
        <w:ind w:left="160" w:right="419" w:firstLine="347"/>
        <w:spacing w:after="0" w:line="271" w:lineRule="auto"/>
        <w:rPr>
          <w:sz w:val="20"/>
          <w:szCs w:val="20"/>
          <w:color w:val="auto"/>
        </w:rPr>
      </w:pPr>
      <w:r>
        <w:rPr>
          <w:rFonts w:ascii="Times New Roman" w:cs="Times New Roman" w:eastAsia="Times New Roman" w:hAnsi="Times New Roman"/>
          <w:sz w:val="14"/>
          <w:szCs w:val="14"/>
          <w:u w:val="single" w:color="auto"/>
          <w:color w:val="auto"/>
        </w:rPr>
        <w:t>Section 8.03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Voting of Stock</w:t>
      </w:r>
      <w:r>
        <w:rPr>
          <w:rFonts w:ascii="Times New Roman" w:cs="Times New Roman" w:eastAsia="Times New Roman" w:hAnsi="Times New Roman"/>
          <w:sz w:val="14"/>
          <w:szCs w:val="14"/>
          <w:color w:val="auto"/>
        </w:rPr>
        <w:t>. Unless otherwise specifically authorized by the Board of Directors, all stock owned by the Company, other than stock of the Company, shall be voted, in person or by proxy, by the President or any Managing Director or any Director or any Vice President of the Company on behalf of the Company.</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AMENDMENTS</w:t>
      </w:r>
    </w:p>
    <w:p>
      <w:pPr>
        <w:spacing w:after="0" w:line="179" w:lineRule="exact"/>
        <w:rPr>
          <w:sz w:val="20"/>
          <w:szCs w:val="20"/>
          <w:color w:val="auto"/>
        </w:rPr>
      </w:pPr>
    </w:p>
    <w:p>
      <w:pPr>
        <w:ind w:left="160" w:right="279" w:firstLine="347"/>
        <w:spacing w:after="0" w:line="265" w:lineRule="auto"/>
        <w:rPr>
          <w:sz w:val="20"/>
          <w:szCs w:val="20"/>
          <w:color w:val="auto"/>
        </w:rPr>
      </w:pPr>
      <w:r>
        <w:rPr>
          <w:rFonts w:ascii="Times New Roman" w:cs="Times New Roman" w:eastAsia="Times New Roman" w:hAnsi="Times New Roman"/>
          <w:sz w:val="14"/>
          <w:szCs w:val="14"/>
          <w:u w:val="single" w:color="auto"/>
          <w:color w:val="auto"/>
        </w:rPr>
        <w:t>Section 9.01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The vote of the holders of at least a majority of the shares of stock of the Company issued and outstanding and entitled to vote shall be necessary at any meeting of stockholders to amend or repeal these By-Laws or to adopt new by-laws. These By-Laws may also be amended or repealed, or new by-laws adopted, at any meeting of the Board of Directors by the vote of at least a majority of the entire Board, provided that any by-law adopted by the Board may be amended or repealed by the stockholders in the manner set forth above.</w:t>
      </w:r>
    </w:p>
    <w:p>
      <w:pPr>
        <w:spacing w:after="0" w:line="140" w:lineRule="exact"/>
        <w:rPr>
          <w:sz w:val="20"/>
          <w:szCs w:val="20"/>
          <w:color w:val="auto"/>
        </w:rPr>
      </w:pPr>
    </w:p>
    <w:p>
      <w:pPr>
        <w:jc w:val="both"/>
        <w:ind w:left="160" w:right="319" w:firstLine="347"/>
        <w:spacing w:after="0" w:line="271" w:lineRule="auto"/>
        <w:rPr>
          <w:sz w:val="20"/>
          <w:szCs w:val="20"/>
          <w:color w:val="auto"/>
        </w:rPr>
      </w:pPr>
      <w:r>
        <w:rPr>
          <w:rFonts w:ascii="Times New Roman" w:cs="Times New Roman" w:eastAsia="Times New Roman" w:hAnsi="Times New Roman"/>
          <w:sz w:val="14"/>
          <w:szCs w:val="14"/>
          <w:color w:val="auto"/>
        </w:rPr>
        <w:t>Any proposal to amend or repeal these By-Laws or to adopt new by-laws shall be stated in the notice of the meeting of the Board of Directors or the stockholders or in the waiver of notice thereof, as the case may be, unless all of the directors or the holders of record of all of the shares of stock of the Company issued and outstanding and entitled to vote are present at such meeting.</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- 11 -</w:t>
      </w:r>
    </w:p>
    <w:p>
      <w:pPr>
        <w:sectPr>
          <w:pgSz w:w="11900" w:h="16838" w:orient="portrait"/>
          <w:cols w:equalWidth="0" w:num="1">
            <w:col w:w="9019"/>
          </w:cols>
          <w:pgMar w:left="1440" w:top="242" w:right="1440" w:bottom="1440" w:gutter="0" w:footer="0" w:header="0"/>
        </w:sectPr>
      </w:pPr>
    </w:p>
    <w:bookmarkStart w:id="66" w:name="page67"/>
    <w:bookmarkEnd w:id="66"/>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Exhibit 7</w:t>
      </w:r>
    </w:p>
    <w:p>
      <w:pPr>
        <w:spacing w:after="0" w:line="203" w:lineRule="exact"/>
        <w:rPr>
          <w:sz w:val="20"/>
          <w:szCs w:val="20"/>
          <w:color w:val="auto"/>
        </w:rPr>
      </w:pPr>
    </w:p>
    <w:p>
      <w:pPr>
        <w:ind w:left="160"/>
        <w:spacing w:after="0"/>
        <w:tabs>
          <w:tab w:leader="none" w:pos="2940" w:val="left"/>
          <w:tab w:leader="none" w:pos="632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Board of Governors of the Federal Reserve System</w:t>
      </w:r>
      <w:r>
        <w:rPr>
          <w:sz w:val="20"/>
          <w:szCs w:val="20"/>
          <w:color w:val="auto"/>
        </w:rPr>
        <w:tab/>
      </w:r>
      <w:r>
        <w:rPr>
          <w:rFonts w:ascii="Times New Roman" w:cs="Times New Roman" w:eastAsia="Times New Roman" w:hAnsi="Times New Roman"/>
          <w:sz w:val="14"/>
          <w:szCs w:val="14"/>
          <w:color w:val="auto"/>
        </w:rPr>
        <w:t>OMB Number 7100-0036</w:t>
      </w:r>
    </w:p>
    <w:p>
      <w:pPr>
        <w:spacing w:after="0" w:line="23" w:lineRule="exact"/>
        <w:rPr>
          <w:sz w:val="20"/>
          <w:szCs w:val="20"/>
          <w:color w:val="auto"/>
        </w:rPr>
      </w:pPr>
    </w:p>
    <w:p>
      <w:pPr>
        <w:ind w:left="2960"/>
        <w:spacing w:after="0"/>
        <w:tabs>
          <w:tab w:leader="none" w:pos="6320" w:val="left"/>
        </w:tabs>
        <w:rPr>
          <w:sz w:val="20"/>
          <w:szCs w:val="20"/>
          <w:color w:val="auto"/>
        </w:rPr>
      </w:pPr>
      <w:r>
        <w:rPr>
          <w:rFonts w:ascii="Times New Roman" w:cs="Times New Roman" w:eastAsia="Times New Roman" w:hAnsi="Times New Roman"/>
          <w:sz w:val="14"/>
          <w:szCs w:val="14"/>
          <w:color w:val="auto"/>
        </w:rPr>
        <w:t>Federal Deposit Insurance Corporation</w:t>
      </w:r>
      <w:r>
        <w:rPr>
          <w:sz w:val="20"/>
          <w:szCs w:val="20"/>
          <w:color w:val="auto"/>
        </w:rPr>
        <w:tab/>
      </w:r>
      <w:r>
        <w:rPr>
          <w:rFonts w:ascii="Times New Roman" w:cs="Times New Roman" w:eastAsia="Times New Roman" w:hAnsi="Times New Roman"/>
          <w:sz w:val="14"/>
          <w:szCs w:val="14"/>
          <w:color w:val="auto"/>
        </w:rPr>
        <w:t>OMB Number 3064-0052</w:t>
      </w:r>
    </w:p>
    <w:p>
      <w:pPr>
        <w:spacing w:after="0" w:line="9" w:lineRule="exact"/>
        <w:rPr>
          <w:sz w:val="20"/>
          <w:szCs w:val="20"/>
          <w:color w:val="auto"/>
        </w:rPr>
      </w:pPr>
    </w:p>
    <w:p>
      <w:pPr>
        <w:ind w:left="2960"/>
        <w:spacing w:after="0"/>
        <w:tabs>
          <w:tab w:leader="none" w:pos="6320" w:val="left"/>
        </w:tabs>
        <w:rPr>
          <w:sz w:val="20"/>
          <w:szCs w:val="20"/>
          <w:color w:val="auto"/>
        </w:rPr>
      </w:pPr>
      <w:r>
        <w:rPr>
          <w:rFonts w:ascii="Times New Roman" w:cs="Times New Roman" w:eastAsia="Times New Roman" w:hAnsi="Times New Roman"/>
          <w:sz w:val="14"/>
          <w:szCs w:val="14"/>
          <w:color w:val="auto"/>
        </w:rPr>
        <w:t>Office of the Comptroller of the Currency</w:t>
      </w:r>
      <w:r>
        <w:rPr>
          <w:sz w:val="20"/>
          <w:szCs w:val="20"/>
          <w:color w:val="auto"/>
        </w:rPr>
        <w:tab/>
      </w:r>
      <w:r>
        <w:rPr>
          <w:rFonts w:ascii="Times New Roman" w:cs="Times New Roman" w:eastAsia="Times New Roman" w:hAnsi="Times New Roman"/>
          <w:sz w:val="14"/>
          <w:szCs w:val="14"/>
          <w:color w:val="auto"/>
        </w:rPr>
        <w:t>OMB Number 1557-0081</w:t>
      </w:r>
    </w:p>
    <w:p>
      <w:pPr>
        <w:spacing w:after="0" w:line="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Approval expires June 30, 2027</w:t>
      </w:r>
    </w:p>
    <w:p>
      <w:pPr>
        <w:spacing w:after="0" w:line="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Page 1 of 86</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Federal Financial Institutions Examination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43180</wp:posOffset>
            </wp:positionV>
            <wp:extent cx="551307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131445</wp:posOffset>
            </wp:positionV>
            <wp:extent cx="614680" cy="6013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614680" cy="6013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Consolidated Reports of Condition and Income for a Bank with Domestic Offices Only—FFIEC 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354330</wp:posOffset>
            </wp:positionV>
            <wp:extent cx="551307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ectPr>
          <w:pgSz w:w="11900" w:h="16838" w:orient="portrait"/>
          <w:cols w:equalWidth="0" w:num="1">
            <w:col w:w="9019"/>
          </w:cols>
          <w:pgMar w:left="1440" w:top="240" w:right="1440" w:bottom="7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Report at the close of business March 31, 2025</w:t>
      </w:r>
    </w:p>
    <w:p>
      <w:pPr>
        <w:spacing w:after="0" w:line="96" w:lineRule="exact"/>
        <w:rPr>
          <w:sz w:val="20"/>
          <w:szCs w:val="20"/>
          <w:color w:val="auto"/>
        </w:rPr>
      </w:pPr>
    </w:p>
    <w:p>
      <w:pPr>
        <w:ind w:left="160"/>
        <w:spacing w:after="0" w:line="271" w:lineRule="auto"/>
        <w:rPr>
          <w:sz w:val="20"/>
          <w:szCs w:val="20"/>
          <w:color w:val="auto"/>
        </w:rPr>
      </w:pPr>
      <w:r>
        <w:rPr>
          <w:rFonts w:ascii="Times New Roman" w:cs="Times New Roman" w:eastAsia="Times New Roman" w:hAnsi="Times New Roman"/>
          <w:sz w:val="14"/>
          <w:szCs w:val="14"/>
          <w:color w:val="auto"/>
        </w:rPr>
        <w:t>This report is required by law: 12 U.S.C. § 324 (State member banks); 12 U.S.C. §1817 (State nonmember banks); 12 U.S.C. §161 (National banks); and 12 U.S.C. §1464 (Savings associations).</w:t>
      </w:r>
    </w:p>
    <w:p>
      <w:pPr>
        <w:spacing w:after="0" w:line="136" w:lineRule="exact"/>
        <w:rPr>
          <w:sz w:val="20"/>
          <w:szCs w:val="20"/>
          <w:color w:val="auto"/>
        </w:rPr>
      </w:pPr>
    </w:p>
    <w:p>
      <w:pPr>
        <w:ind w:left="160" w:right="240"/>
        <w:spacing w:after="0" w:line="288" w:lineRule="auto"/>
        <w:rPr>
          <w:sz w:val="20"/>
          <w:szCs w:val="20"/>
          <w:color w:val="auto"/>
        </w:rPr>
      </w:pPr>
      <w:r>
        <w:rPr>
          <w:rFonts w:ascii="Times New Roman" w:cs="Times New Roman" w:eastAsia="Times New Roman" w:hAnsi="Times New Roman"/>
          <w:sz w:val="14"/>
          <w:szCs w:val="14"/>
          <w:color w:val="auto"/>
        </w:rPr>
        <w:t>Unless the context indicates otherwise, the term “bank” in this report form refers to both banks and savings associations.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93"/>
              </w:rPr>
              <w:t>      20250331</w:t>
            </w:r>
          </w:p>
        </w:tc>
      </w:tr>
      <w:tr>
        <w:trPr>
          <w:trHeight w:val="182"/>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(RCON 9999)</w:t>
            </w:r>
          </w:p>
        </w:tc>
      </w:tr>
    </w:tbl>
    <w:p>
      <w:pPr>
        <w:spacing w:after="0" w:line="156" w:lineRule="exact"/>
        <w:rPr>
          <w:sz w:val="20"/>
          <w:szCs w:val="20"/>
          <w:color w:val="auto"/>
        </w:rPr>
      </w:pPr>
    </w:p>
    <w:p>
      <w:pPr>
        <w:ind w:right="259"/>
        <w:spacing w:after="0" w:line="262" w:lineRule="auto"/>
        <w:rPr>
          <w:sz w:val="20"/>
          <w:szCs w:val="20"/>
          <w:color w:val="auto"/>
        </w:rPr>
      </w:pPr>
      <w:r>
        <w:rPr>
          <w:rFonts w:ascii="Times New Roman" w:cs="Times New Roman" w:eastAsia="Times New Roman" w:hAnsi="Times New Roman"/>
          <w:sz w:val="14"/>
          <w:szCs w:val="14"/>
          <w:color w:val="auto"/>
        </w:rPr>
        <w:t>This report form is to be filed by banks with domestic offices only and total consolidated assets of less than $100 billion, except those banks that file the FFIEC 051, and those banks that are advanced approaches institutions for regulatory capital purposes that are required to file the FFIEC 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201295</wp:posOffset>
            </wp:positionV>
            <wp:extent cx="551307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280"/>
            <w:col w:w="4419"/>
          </w:cols>
          <w:pgMar w:left="1440" w:top="240" w:right="1440" w:bottom="794" w:gutter="0" w:footer="0" w:header="0"/>
          <w:type w:val="continuous"/>
        </w:sectPr>
      </w:pPr>
    </w:p>
    <w:p>
      <w:pPr>
        <w:spacing w:after="0" w:line="283" w:lineRule="exact"/>
        <w:rPr>
          <w:sz w:val="20"/>
          <w:szCs w:val="20"/>
          <w:color w:val="auto"/>
        </w:rPr>
      </w:pPr>
    </w:p>
    <w:p>
      <w:pPr>
        <w:ind w:left="160"/>
        <w:spacing w:after="0" w:line="257" w:lineRule="auto"/>
        <w:rPr>
          <w:sz w:val="20"/>
          <w:szCs w:val="20"/>
          <w:color w:val="auto"/>
        </w:rPr>
      </w:pPr>
      <w:r>
        <w:rPr>
          <w:rFonts w:ascii="Times New Roman" w:cs="Times New Roman" w:eastAsia="Times New Roman" w:hAnsi="Times New Roman"/>
          <w:sz w:val="14"/>
          <w:szCs w:val="14"/>
          <w:color w:val="auto"/>
        </w:rPr>
        <w:t>NOTE: Each bank’s board of directors and senior management are responsible for establishing and maintaining an effective system of internal control, including controls over the Reports of Condition and Income. The Reports of Condition and Income are to be prepared in accordance with federal regulatory authority instructions. The Reports of Condition and Income must be signed by the Chief Financial Officer (CFO) of the reporting bank (or by the individual performing an equivalent function) and attested to by not less than two directors (trustees) for state nonmember banks and three directors for state member banks, national banks, and savings associations.</w:t>
      </w:r>
    </w:p>
    <w:p>
      <w:pPr>
        <w:spacing w:after="0" w:line="64" w:lineRule="exact"/>
        <w:rPr>
          <w:sz w:val="20"/>
          <w:szCs w:val="20"/>
          <w:color w:val="auto"/>
        </w:rPr>
      </w:pPr>
    </w:p>
    <w:p>
      <w:pPr>
        <w:ind w:left="160" w:right="20"/>
        <w:spacing w:after="0" w:line="288" w:lineRule="auto"/>
        <w:rPr>
          <w:sz w:val="20"/>
          <w:szCs w:val="20"/>
          <w:color w:val="auto"/>
        </w:rPr>
      </w:pPr>
      <w:r>
        <w:rPr>
          <w:rFonts w:ascii="Times New Roman" w:cs="Times New Roman" w:eastAsia="Times New Roman" w:hAnsi="Times New Roman"/>
          <w:sz w:val="14"/>
          <w:szCs w:val="14"/>
          <w:color w:val="auto"/>
        </w:rPr>
        <w:t>I, the undersigned CFO (or equivalent) of the named bank, attest that the Reports of Condition and Income (including the supporting</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179"/>
        <w:spacing w:after="0" w:line="271" w:lineRule="auto"/>
        <w:rPr>
          <w:sz w:val="20"/>
          <w:szCs w:val="20"/>
          <w:color w:val="auto"/>
        </w:rPr>
      </w:pPr>
      <w:r>
        <w:rPr>
          <w:rFonts w:ascii="Times New Roman" w:cs="Times New Roman" w:eastAsia="Times New Roman" w:hAnsi="Times New Roman"/>
          <w:sz w:val="14"/>
          <w:szCs w:val="14"/>
          <w:color w:val="auto"/>
        </w:rPr>
        <w:t>schedules) for this report date have been prepared in conformance with the instructions issued by the appropriate Federal regulatory authority and are true and correct to the best of my knowledge and belief.</w:t>
      </w:r>
    </w:p>
    <w:p>
      <w:pPr>
        <w:spacing w:after="0" w:line="136" w:lineRule="exact"/>
        <w:rPr>
          <w:sz w:val="20"/>
          <w:szCs w:val="20"/>
          <w:color w:val="auto"/>
        </w:rPr>
      </w:pPr>
    </w:p>
    <w:p>
      <w:pPr>
        <w:ind w:right="199"/>
        <w:spacing w:after="0" w:line="260"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Reports of Condition and Income (including the supporting schedules) for this report date and declare that the Reports of Condition and Income have been examined by us and to the best of our knowledge and belief have been prepared in conformance with the instructions issued by the appropriate Federal regulatory authority and are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432435</wp:posOffset>
            </wp:positionV>
            <wp:extent cx="27025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2702560" cy="6985"/>
                    </a:xfrm>
                    <a:prstGeom prst="rect">
                      <a:avLst/>
                    </a:prstGeom>
                    <a:noFill/>
                  </pic:spPr>
                </pic:pic>
              </a:graphicData>
            </a:graphic>
          </wp:anchor>
        </w:drawing>
      </w:r>
    </w:p>
    <w:p>
      <w:pPr>
        <w:spacing w:after="0" w:line="646" w:lineRule="exact"/>
        <w:rPr>
          <w:sz w:val="20"/>
          <w:szCs w:val="20"/>
          <w:color w:val="auto"/>
        </w:rPr>
      </w:pPr>
    </w:p>
    <w:p>
      <w:pPr>
        <w:sectPr>
          <w:pgSz w:w="11900" w:h="16838" w:orient="portrait"/>
          <w:cols w:equalWidth="0" w:num="2">
            <w:col w:w="4300" w:space="300"/>
            <w:col w:w="4419"/>
          </w:cols>
          <w:pgMar w:left="1440" w:top="240" w:right="1440" w:bottom="794" w:gutter="0" w:footer="0" w:header="0"/>
          <w:type w:val="continuous"/>
        </w:sectPr>
      </w:pPr>
    </w:p>
    <w:p>
      <w:pPr>
        <w:spacing w:after="0" w:line="63"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240" w:type="dxa"/>
            <w:vAlign w:val="bottom"/>
          </w:tcPr>
          <w:p>
            <w:pPr>
              <w:spacing w:after="0"/>
              <w:rPr>
                <w:sz w:val="16"/>
                <w:szCs w:val="16"/>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 (Trustee)</w:t>
            </w:r>
          </w:p>
        </w:tc>
        <w:tc>
          <w:tcPr>
            <w:tcW w:w="0" w:type="dxa"/>
            <w:vAlign w:val="bottom"/>
          </w:tcPr>
          <w:p>
            <w:pPr>
              <w:spacing w:after="0"/>
              <w:rPr>
                <w:sz w:val="1"/>
                <w:szCs w:val="1"/>
                <w:color w:val="auto"/>
              </w:rPr>
            </w:pPr>
          </w:p>
        </w:tc>
      </w:tr>
      <w:tr>
        <w:trPr>
          <w:trHeight w:val="137"/>
        </w:trPr>
        <w:tc>
          <w:tcPr>
            <w:tcW w:w="41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Signature of Chief Financial Officer (or Equivalent)</w:t>
            </w:r>
          </w:p>
        </w:tc>
        <w:tc>
          <w:tcPr>
            <w:tcW w:w="240" w:type="dxa"/>
            <w:vAlign w:val="bottom"/>
          </w:tcPr>
          <w:p>
            <w:pPr>
              <w:spacing w:after="0"/>
              <w:rPr>
                <w:sz w:val="14"/>
                <w:szCs w:val="14"/>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 (Trustee)</w:t>
            </w:r>
          </w:p>
        </w:tc>
        <w:tc>
          <w:tcPr>
            <w:tcW w:w="0" w:type="dxa"/>
            <w:vAlign w:val="bottom"/>
          </w:tcPr>
          <w:p>
            <w:pPr>
              <w:spacing w:after="0"/>
              <w:rPr>
                <w:sz w:val="1"/>
                <w:szCs w:val="1"/>
                <w:color w:val="auto"/>
              </w:rPr>
            </w:pPr>
          </w:p>
        </w:tc>
      </w:tr>
      <w:tr>
        <w:trPr>
          <w:trHeight w:val="20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4/30/2025</w:t>
            </w:r>
          </w:p>
        </w:tc>
        <w:tc>
          <w:tcPr>
            <w:tcW w:w="240" w:type="dxa"/>
            <w:vAlign w:val="bottom"/>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Date of Signature</w:t>
            </w:r>
          </w:p>
        </w:tc>
        <w:tc>
          <w:tcPr>
            <w:tcW w:w="24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 (Trustee)</w:t>
            </w:r>
          </w:p>
        </w:tc>
        <w:tc>
          <w:tcPr>
            <w:tcW w:w="0" w:type="dxa"/>
            <w:vAlign w:val="bottom"/>
          </w:tcPr>
          <w:p>
            <w:pPr>
              <w:spacing w:after="0"/>
              <w:rPr>
                <w:sz w:val="1"/>
                <w:szCs w:val="1"/>
                <w:color w:val="auto"/>
              </w:rPr>
            </w:pPr>
          </w:p>
        </w:tc>
      </w:tr>
      <w:tr>
        <w:trPr>
          <w:trHeight w:val="128"/>
        </w:trPr>
        <w:tc>
          <w:tcPr>
            <w:tcW w:w="4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ectPr>
          <w:pgSz w:w="11900" w:h="16838" w:orient="portrait"/>
          <w:cols w:equalWidth="0" w:num="1">
            <w:col w:w="9019"/>
          </w:cols>
          <w:pgMar w:left="1440" w:top="240" w:right="1440" w:bottom="794"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b w:val="1"/>
          <w:bCs w:val="1"/>
          <w:color w:val="auto"/>
        </w:rPr>
        <w:t>Submission of Reports</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Each bank must file its Reports of Condition and Income (Call Report)</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data by either:</w:t>
      </w:r>
    </w:p>
    <w:p>
      <w:pPr>
        <w:spacing w:after="0" w:line="91" w:lineRule="exact"/>
        <w:rPr>
          <w:sz w:val="20"/>
          <w:szCs w:val="20"/>
          <w:color w:val="auto"/>
        </w:rPr>
      </w:pPr>
    </w:p>
    <w:p>
      <w:pPr>
        <w:ind w:left="460" w:right="240" w:hanging="297"/>
        <w:spacing w:after="0" w:line="265" w:lineRule="auto"/>
        <w:tabs>
          <w:tab w:leader="none" w:pos="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computer software to prepare its Call Report and then submitting the report data directly to the FFIEC’s Central Data Repository (CDR), an Internet-based system for data collection (https://cdr.ffiec.gov/cdr/), or</w:t>
      </w:r>
    </w:p>
    <w:p>
      <w:pPr>
        <w:spacing w:after="0" w:line="65" w:lineRule="exact"/>
        <w:rPr>
          <w:rFonts w:ascii="Times New Roman" w:cs="Times New Roman" w:eastAsia="Times New Roman" w:hAnsi="Times New Roman"/>
          <w:sz w:val="14"/>
          <w:szCs w:val="14"/>
          <w:color w:val="auto"/>
        </w:rPr>
      </w:pPr>
    </w:p>
    <w:p>
      <w:pPr>
        <w:ind w:left="460" w:right="80" w:hanging="297"/>
        <w:spacing w:after="0" w:line="262" w:lineRule="auto"/>
        <w:tabs>
          <w:tab w:leader="none" w:pos="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its Call Report in paper form and arranging with a software vendor or another party to convert the data into the electronic format that can be processed by the CDR. The software vendor or other party then must electronically submit the bank’s data file to the CDR.</w:t>
      </w:r>
    </w:p>
    <w:p>
      <w:pPr>
        <w:spacing w:after="0" w:line="143" w:lineRule="exact"/>
        <w:rPr>
          <w:sz w:val="20"/>
          <w:szCs w:val="20"/>
          <w:color w:val="auto"/>
        </w:rPr>
      </w:pPr>
    </w:p>
    <w:p>
      <w:pPr>
        <w:ind w:left="160"/>
        <w:spacing w:after="0" w:line="271" w:lineRule="auto"/>
        <w:rPr>
          <w:sz w:val="20"/>
          <w:szCs w:val="20"/>
          <w:color w:val="auto"/>
        </w:rPr>
      </w:pPr>
      <w:r>
        <w:rPr>
          <w:rFonts w:ascii="Times New Roman" w:cs="Times New Roman" w:eastAsia="Times New Roman" w:hAnsi="Times New Roman"/>
          <w:sz w:val="14"/>
          <w:szCs w:val="14"/>
          <w:color w:val="auto"/>
        </w:rPr>
        <w:t>For technical assistance with submissions to the CDR, please contact the CDR Help Desk by telephone at (888) CDR-3111, by fax at (703) 774-3946, or by e-mail at cdr.help@cdr.ffiec.gov.</w:t>
      </w:r>
    </w:p>
    <w:p>
      <w:pPr>
        <w:spacing w:after="0" w:line="152"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FDIC Certificate Number</w:t>
            </w:r>
          </w:p>
        </w:tc>
        <w:tc>
          <w:tcPr>
            <w:tcW w:w="1540" w:type="dxa"/>
            <w:vAlign w:val="bottom"/>
            <w:tcBorders>
              <w:top w:val="single" w:sz="8" w:color="auto"/>
              <w:bottom w:val="single" w:sz="8" w:color="auto"/>
              <w:righ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623</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67291"/>
              </w:rPr>
              <w:t> </w:t>
            </w:r>
          </w:p>
        </w:tc>
      </w:tr>
      <w:tr>
        <w:trPr>
          <w:trHeight w:val="175"/>
        </w:trPr>
        <w:tc>
          <w:tcPr>
            <w:tcW w:w="1560" w:type="dxa"/>
            <w:vAlign w:val="bottom"/>
          </w:tcPr>
          <w:p>
            <w:pPr>
              <w:spacing w:after="0"/>
              <w:rPr>
                <w:sz w:val="15"/>
                <w:szCs w:val="15"/>
                <w:color w:val="auto"/>
              </w:rPr>
            </w:pPr>
          </w:p>
        </w:tc>
        <w:tc>
          <w:tcPr>
            <w:tcW w:w="154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(RSSD 9050)</w:t>
            </w:r>
          </w:p>
        </w:tc>
        <w:tc>
          <w:tcPr>
            <w:tcW w:w="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20" w:right="339"/>
        <w:spacing w:after="0" w:line="262" w:lineRule="auto"/>
        <w:rPr>
          <w:sz w:val="20"/>
          <w:szCs w:val="20"/>
          <w:color w:val="auto"/>
        </w:rPr>
      </w:pPr>
      <w:r>
        <w:rPr>
          <w:rFonts w:ascii="Times New Roman" w:cs="Times New Roman" w:eastAsia="Times New Roman" w:hAnsi="Times New Roman"/>
          <w:sz w:val="14"/>
          <w:szCs w:val="14"/>
          <w:color w:val="auto"/>
        </w:rPr>
        <w:t>To fulfill the signature and attestation requirement for the Reports of Condition and Income for this report date, attach your bank’s completed signature page (or a photocopy or a computer generated version of this page) to the hard-copy record of the data file submitted to the CDR that your bank must place in its files.</w:t>
      </w:r>
    </w:p>
    <w:p>
      <w:pPr>
        <w:spacing w:after="0" w:line="143" w:lineRule="exact"/>
        <w:rPr>
          <w:sz w:val="20"/>
          <w:szCs w:val="20"/>
          <w:color w:val="auto"/>
        </w:rPr>
      </w:pPr>
    </w:p>
    <w:p>
      <w:pPr>
        <w:ind w:left="20" w:right="219"/>
        <w:spacing w:after="0" w:line="265" w:lineRule="auto"/>
        <w:rPr>
          <w:sz w:val="20"/>
          <w:szCs w:val="20"/>
          <w:color w:val="auto"/>
        </w:rPr>
      </w:pPr>
      <w:r>
        <w:rPr>
          <w:rFonts w:ascii="Times New Roman" w:cs="Times New Roman" w:eastAsia="Times New Roman" w:hAnsi="Times New Roman"/>
          <w:sz w:val="14"/>
          <w:szCs w:val="14"/>
          <w:color w:val="auto"/>
        </w:rPr>
        <w:t>The appearance of your bank’s hard-copy record of the submitted data file need not match exactly the appearance of the FFIEC’s sample report forms, but should show at least the caption of each Call Report item and the reported amount.</w:t>
      </w:r>
    </w:p>
    <w:p>
      <w:pPr>
        <w:spacing w:after="0" w:line="138" w:lineRule="exact"/>
        <w:rPr>
          <w:sz w:val="20"/>
          <w:szCs w:val="20"/>
          <w:color w:val="auto"/>
        </w:rPr>
      </w:pPr>
    </w:p>
    <w:p>
      <w:pPr>
        <w:ind w:left="20" w:right="1119"/>
        <w:spacing w:after="0" w:line="370" w:lineRule="auto"/>
        <w:rPr>
          <w:sz w:val="20"/>
          <w:szCs w:val="20"/>
          <w:color w:val="auto"/>
        </w:rPr>
      </w:pPr>
      <w:r>
        <w:rPr>
          <w:rFonts w:ascii="Times New Roman" w:cs="Times New Roman" w:eastAsia="Times New Roman" w:hAnsi="Times New Roman"/>
          <w:sz w:val="14"/>
          <w:szCs w:val="14"/>
          <w:b w:val="1"/>
          <w:bCs w:val="1"/>
          <w:color w:val="auto"/>
        </w:rPr>
        <w:t xml:space="preserve">DEUTSCHE BANK TRUST COMPANY AMERICAS </w:t>
      </w:r>
      <w:r>
        <w:rPr>
          <w:rFonts w:ascii="Times New Roman" w:cs="Times New Roman" w:eastAsia="Times New Roman" w:hAnsi="Times New Roman"/>
          <w:sz w:val="14"/>
          <w:szCs w:val="14"/>
          <w:color w:val="auto"/>
        </w:rPr>
        <w:t>Legal Title of Bank (RSSD 9017)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27025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2702560" cy="6985"/>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270256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2702560" cy="698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City (RSSD 9130)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NY</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75"/>
        </w:trPr>
        <w:tc>
          <w:tcPr>
            <w:tcW w:w="20" w:type="dxa"/>
            <w:vAlign w:val="bottom"/>
          </w:tcPr>
          <w:p>
            <w:pPr>
              <w:spacing w:after="0"/>
              <w:rPr>
                <w:sz w:val="15"/>
                <w:szCs w:val="15"/>
                <w:color w:val="auto"/>
              </w:rPr>
            </w:pPr>
          </w:p>
        </w:tc>
        <w:tc>
          <w:tcPr>
            <w:tcW w:w="2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State Abbreviation (RSSD 9200)</w:t>
            </w:r>
          </w:p>
        </w:tc>
        <w:tc>
          <w:tcPr>
            <w:tcW w:w="120" w:type="dxa"/>
            <w:vAlign w:val="bottom"/>
          </w:tcPr>
          <w:p>
            <w:pPr>
              <w:spacing w:after="0"/>
              <w:rPr>
                <w:sz w:val="15"/>
                <w:szCs w:val="15"/>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Zip Code (RSSD 9220)</w:t>
            </w:r>
          </w:p>
        </w:tc>
      </w:tr>
      <w:tr>
        <w:trPr>
          <w:trHeight w:val="332"/>
        </w:trPr>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Legal Entity Identifier (LEI)</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8EWQ2UQKS07AKK8ANH81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708275" cy="168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2708275" cy="16827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(Report only if your institution already has an LEI.) (RCON 9224)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217805</wp:posOffset>
            </wp:positionV>
            <wp:extent cx="551307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300"/>
            <w:col w:w="4439"/>
          </w:cols>
          <w:pgMar w:left="1440" w:top="240" w:right="1440" w:bottom="794" w:gutter="0" w:footer="0" w:header="0"/>
          <w:type w:val="continuous"/>
        </w:sectPr>
      </w:pPr>
    </w:p>
    <w:p>
      <w:pPr>
        <w:spacing w:after="0" w:line="171" w:lineRule="exact"/>
        <w:rPr>
          <w:sz w:val="20"/>
          <w:szCs w:val="20"/>
          <w:color w:val="auto"/>
        </w:rPr>
      </w:pPr>
    </w:p>
    <w:p>
      <w:pPr>
        <w:ind w:left="160" w:right="199"/>
        <w:spacing w:after="0" w:line="256" w:lineRule="auto"/>
        <w:rPr>
          <w:sz w:val="20"/>
          <w:szCs w:val="20"/>
          <w:color w:val="auto"/>
        </w:rPr>
      </w:pPr>
      <w:r>
        <w:rPr>
          <w:rFonts w:ascii="Times New Roman" w:cs="Times New Roman" w:eastAsia="Times New Roman" w:hAnsi="Times New Roman"/>
          <w:sz w:val="14"/>
          <w:szCs w:val="14"/>
          <w:color w:val="auto"/>
        </w:rPr>
        <w:t>The estimated average burden associated with this information collection is 55.56 hours per respondent and is expected to vary by institution, depending on individual circumstances. Burden estimates include the time for reviewing instructions, gathering and maintaining data in the required form, and completing the information collection, but exclude the time for compiling and maintaining business records in the normal course of a respondent’s activities. A Federal agency may not conduct or sponsor, and an organization (or a person) is not required to respond to a collection of information, unless it displays a currently valid OMB control number. Comments concerning the accuracy of this burden estimate and suggestions for reducing this burden should be directed to the Office of Information and Regulatory Affairs, Office of Management and Budget, Washington, DC 20503, and to one of the following: Secretary, Board of Governors of the Federal Reserve System, 20th and C Streets, NW, Washington, DC 20551; Legislative and Regulatory Analysis Division, Office of the Comptroller of the Currency, Washington, DC 20219; Assistant Executive Secretary, Federal Deposit Insurance Corporation, Washington, DC 20429.</w:t>
      </w:r>
    </w:p>
    <w:p>
      <w:pPr>
        <w:spacing w:after="0" w:line="1"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4"/>
          <w:szCs w:val="14"/>
          <w:color w:val="auto"/>
        </w:rPr>
        <w:t>06/2012</w:t>
      </w:r>
    </w:p>
    <w:p>
      <w:pPr>
        <w:spacing w:after="0" w:line="16"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4"/>
          <w:szCs w:val="14"/>
          <w:color w:val="auto"/>
        </w:rPr>
        <w:t>03/2025</w:t>
      </w:r>
    </w:p>
    <w:p>
      <w:pPr>
        <w:sectPr>
          <w:pgSz w:w="11900" w:h="16838" w:orient="portrait"/>
          <w:cols w:equalWidth="0" w:num="1">
            <w:col w:w="9019"/>
          </w:cols>
          <w:pgMar w:left="1440" w:top="240" w:right="1440" w:bottom="794" w:gutter="0" w:footer="0" w:header="0"/>
          <w:type w:val="continuous"/>
        </w:sectPr>
      </w:pPr>
    </w:p>
    <w:bookmarkStart w:id="67" w:name="page68"/>
    <w:bookmarkEnd w:id="67"/>
    <w:p>
      <w:pPr>
        <w:jc w:val="right"/>
        <w:ind w:right="15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FFIEC 041    </w:t>
      </w:r>
    </w:p>
    <w:p>
      <w:pPr>
        <w:spacing w:after="0" w:line="23"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color w:val="auto"/>
        </w:rPr>
        <w:t>Page 16 of 86</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color w:val="auto"/>
        </w:rPr>
        <w:t xml:space="preserve">RC-1         </w:t>
      </w:r>
    </w:p>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Consolidated Report of Condition for Insured Banks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and Savings Associations for March 31, 2025</w:t>
      </w:r>
    </w:p>
    <w:p>
      <w:pPr>
        <w:spacing w:after="0" w:line="80" w:lineRule="exact"/>
        <w:rPr>
          <w:sz w:val="20"/>
          <w:szCs w:val="20"/>
          <w:color w:val="auto"/>
        </w:rPr>
      </w:pPr>
    </w:p>
    <w:p>
      <w:pPr>
        <w:ind w:left="160" w:right="499"/>
        <w:spacing w:after="0" w:line="288" w:lineRule="auto"/>
        <w:rPr>
          <w:sz w:val="20"/>
          <w:szCs w:val="20"/>
          <w:color w:val="auto"/>
        </w:rPr>
      </w:pPr>
      <w:r>
        <w:rPr>
          <w:rFonts w:ascii="Times New Roman" w:cs="Times New Roman" w:eastAsia="Times New Roman" w:hAnsi="Times New Roman"/>
          <w:sz w:val="14"/>
          <w:szCs w:val="14"/>
          <w:color w:val="auto"/>
        </w:rPr>
        <w:t>All schedules are to be reported in thousands of dollars. Unless otherwise indicated, report the amount outstanding as of the last business day of the quarter.</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Schedule RC—Balance Sheet</w:t>
      </w:r>
    </w:p>
    <w:p>
      <w:pPr>
        <w:spacing w:after="0" w:line="200" w:lineRule="exact"/>
        <w:rPr>
          <w:sz w:val="20"/>
          <w:szCs w:val="20"/>
          <w:color w:val="auto"/>
        </w:rPr>
      </w:pPr>
    </w:p>
    <w:p>
      <w:pPr>
        <w:ind w:left="5540"/>
        <w:spacing w:after="0"/>
        <w:tabs>
          <w:tab w:leader="none" w:pos="7020" w:val="left"/>
          <w:tab w:leader="none" w:pos="7640" w:val="left"/>
        </w:tabs>
        <w:rPr>
          <w:sz w:val="20"/>
          <w:szCs w:val="20"/>
          <w:color w:val="auto"/>
        </w:rPr>
      </w:pPr>
      <w:r>
        <w:rPr>
          <w:rFonts w:ascii="Times New Roman" w:cs="Times New Roman" w:eastAsia="Times New Roman" w:hAnsi="Times New Roman"/>
          <w:sz w:val="11"/>
          <w:szCs w:val="11"/>
          <w:u w:val="single" w:color="auto"/>
          <w:color w:val="auto"/>
        </w:rPr>
        <w:t>Dollar Amounts in Thousands</w:t>
      </w:r>
      <w:r>
        <w:rPr>
          <w:sz w:val="20"/>
          <w:szCs w:val="20"/>
          <w:color w:val="auto"/>
        </w:rPr>
        <w:tab/>
      </w:r>
      <w:r>
        <w:rPr>
          <w:rFonts w:ascii="Times New Roman" w:cs="Times New Roman" w:eastAsia="Times New Roman" w:hAnsi="Times New Roman"/>
          <w:sz w:val="11"/>
          <w:szCs w:val="11"/>
          <w:u w:val="single" w:color="auto"/>
          <w:color w:val="auto"/>
        </w:rPr>
        <w:t>RCON</w:t>
      </w:r>
      <w:r>
        <w:rPr>
          <w:sz w:val="20"/>
          <w:szCs w:val="20"/>
          <w:color w:val="auto"/>
        </w:rPr>
        <w:tab/>
      </w:r>
      <w:r>
        <w:rPr>
          <w:rFonts w:ascii="Times New Roman" w:cs="Times New Roman" w:eastAsia="Times New Roman" w:hAnsi="Times New Roman"/>
          <w:sz w:val="11"/>
          <w:szCs w:val="1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11430</wp:posOffset>
            </wp:positionV>
            <wp:extent cx="5513070" cy="1079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5513070" cy="1079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7" w:lineRule="exact"/>
        <w:rPr>
          <w:sz w:val="20"/>
          <w:szCs w:val="20"/>
          <w:color w:val="auto"/>
        </w:rPr>
      </w:pPr>
    </w:p>
    <w:p>
      <w:pPr>
        <w:ind w:left="560" w:hanging="397"/>
        <w:spacing w:after="0"/>
        <w:tabs>
          <w:tab w:leader="none" w:pos="5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balances due from depository institutions (from Schedule RC-A):</w:t>
      </w:r>
    </w:p>
    <w:tbl>
      <w:tblPr>
        <w:tblLayout w:type="fixed"/>
        <w:tblInd w:w="160" w:type="dxa"/>
        <w:tblCellMar>
          <w:top w:w="0" w:type="dxa"/>
          <w:left w:w="0" w:type="dxa"/>
          <w:bottom w:w="0" w:type="dxa"/>
          <w:right w:w="0" w:type="dxa"/>
        </w:tblCellMar>
      </w:tblPr>
      <w:tr>
        <w:trPr>
          <w:trHeight w:val="180"/>
        </w:trPr>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w:t>
            </w:r>
          </w:p>
        </w:tc>
        <w:tc>
          <w:tcPr>
            <w:tcW w:w="47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4"/>
                <w:szCs w:val="14"/>
                <w:color w:val="auto"/>
              </w:rPr>
              <w:t xml:space="preserve">Noninterest-bearing balances and currency and coin </w:t>
            </w:r>
            <w:r>
              <w:rPr>
                <w:rFonts w:ascii="Times New Roman" w:cs="Times New Roman" w:eastAsia="Times New Roman" w:hAnsi="Times New Roman"/>
                <w:sz w:val="20"/>
                <w:szCs w:val="20"/>
                <w:color w:val="auto"/>
                <w:vertAlign w:val="superscript"/>
              </w:rPr>
              <w:t>(1)</w:t>
            </w:r>
          </w:p>
        </w:tc>
        <w:tc>
          <w:tcPr>
            <w:tcW w:w="1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0081</w:t>
            </w: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31,000</w:t>
            </w: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1.a.</w:t>
            </w:r>
          </w:p>
        </w:tc>
      </w:tr>
      <w:tr>
        <w:trPr>
          <w:trHeight w:val="172"/>
        </w:trPr>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w:t>
            </w:r>
          </w:p>
        </w:tc>
        <w:tc>
          <w:tcPr>
            <w:tcW w:w="4760" w:type="dxa"/>
            <w:vAlign w:val="bottom"/>
          </w:tcPr>
          <w:p>
            <w:pPr>
              <w:ind w:left="100"/>
              <w:spacing w:after="0" w:line="172" w:lineRule="exact"/>
              <w:rPr>
                <w:sz w:val="20"/>
                <w:szCs w:val="20"/>
                <w:color w:val="auto"/>
              </w:rPr>
            </w:pPr>
            <w:r>
              <w:rPr>
                <w:rFonts w:ascii="Times New Roman" w:cs="Times New Roman" w:eastAsia="Times New Roman" w:hAnsi="Times New Roman"/>
                <w:sz w:val="13"/>
                <w:szCs w:val="13"/>
                <w:color w:val="auto"/>
              </w:rPr>
              <w:t xml:space="preserve">Interest-bearing balances </w:t>
            </w:r>
            <w:r>
              <w:rPr>
                <w:rFonts w:ascii="Times New Roman" w:cs="Times New Roman" w:eastAsia="Times New Roman" w:hAnsi="Times New Roman"/>
                <w:sz w:val="19"/>
                <w:szCs w:val="19"/>
                <w:color w:val="auto"/>
                <w:vertAlign w:val="superscript"/>
              </w:rPr>
              <w:t>(2)</w:t>
            </w:r>
          </w:p>
        </w:tc>
        <w:tc>
          <w:tcPr>
            <w:tcW w:w="1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0071</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16,434,000</w:t>
            </w: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0</wp:posOffset>
            </wp:positionV>
            <wp:extent cx="5513070" cy="1079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5513070" cy="107950"/>
                    </a:xfrm>
                    <a:prstGeom prst="rect">
                      <a:avLst/>
                    </a:prstGeom>
                    <a:noFill/>
                  </pic:spPr>
                </pic:pic>
              </a:graphicData>
            </a:graphic>
          </wp:anchor>
        </w:drawing>
      </w:r>
    </w:p>
    <w:p>
      <w:pPr>
        <w:ind w:left="560" w:hanging="397"/>
        <w:spacing w:after="0"/>
        <w:tabs>
          <w:tab w:leader="none" w:pos="5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w:t>
      </w:r>
    </w:p>
    <w:tbl>
      <w:tblPr>
        <w:tblLayout w:type="fixed"/>
        <w:tblInd w:w="160" w:type="dxa"/>
        <w:tblCellMar>
          <w:top w:w="0" w:type="dxa"/>
          <w:left w:w="0" w:type="dxa"/>
          <w:bottom w:w="0" w:type="dxa"/>
          <w:right w:w="0" w:type="dxa"/>
        </w:tblCellMar>
      </w:tblPr>
      <w:tr>
        <w:trPr>
          <w:trHeight w:val="178"/>
        </w:trPr>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w:t>
            </w:r>
          </w:p>
        </w:tc>
        <w:tc>
          <w:tcPr>
            <w:tcW w:w="5380" w:type="dxa"/>
            <w:vAlign w:val="bottom"/>
          </w:tcPr>
          <w:p>
            <w:pPr>
              <w:ind w:left="100"/>
              <w:spacing w:after="0" w:line="178" w:lineRule="exact"/>
              <w:rPr>
                <w:sz w:val="20"/>
                <w:szCs w:val="20"/>
                <w:color w:val="auto"/>
              </w:rPr>
            </w:pPr>
            <w:r>
              <w:rPr>
                <w:rFonts w:ascii="Times New Roman" w:cs="Times New Roman" w:eastAsia="Times New Roman" w:hAnsi="Times New Roman"/>
                <w:sz w:val="14"/>
                <w:szCs w:val="14"/>
                <w:color w:val="auto"/>
              </w:rPr>
              <w:t xml:space="preserve">Held-to-maturity securities (from Schedule RC-B, column A) </w:t>
            </w:r>
            <w:r>
              <w:rPr>
                <w:rFonts w:ascii="Times New Roman" w:cs="Times New Roman" w:eastAsia="Times New Roman" w:hAnsi="Times New Roman"/>
                <w:sz w:val="20"/>
                <w:szCs w:val="20"/>
                <w:color w:val="auto"/>
                <w:vertAlign w:val="superscript"/>
              </w:rPr>
              <w:t>(3)</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JJ34</w:t>
            </w: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0</w:t>
            </w: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2.a.</w:t>
            </w:r>
          </w:p>
        </w:tc>
      </w:tr>
      <w:tr>
        <w:trPr>
          <w:trHeight w:val="170"/>
        </w:trPr>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b.</w:t>
            </w: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Available-for-sale debt securities (from Schedule RC-B, column D)</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1773</w:t>
            </w: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391,000</w:t>
            </w: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2.b.</w:t>
            </w:r>
          </w:p>
        </w:tc>
      </w:tr>
      <w:tr>
        <w:trPr>
          <w:trHeight w:val="172"/>
        </w:trPr>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w:t>
            </w:r>
          </w:p>
        </w:tc>
        <w:tc>
          <w:tcPr>
            <w:tcW w:w="5380" w:type="dxa"/>
            <w:vAlign w:val="bottom"/>
          </w:tcPr>
          <w:p>
            <w:pPr>
              <w:ind w:left="100"/>
              <w:spacing w:after="0" w:line="172" w:lineRule="exact"/>
              <w:rPr>
                <w:sz w:val="20"/>
                <w:szCs w:val="20"/>
                <w:color w:val="auto"/>
              </w:rPr>
            </w:pPr>
            <w:r>
              <w:rPr>
                <w:rFonts w:ascii="Times New Roman" w:cs="Times New Roman" w:eastAsia="Times New Roman" w:hAnsi="Times New Roman"/>
                <w:sz w:val="13"/>
                <w:szCs w:val="13"/>
                <w:color w:val="auto"/>
              </w:rPr>
              <w:t xml:space="preserve">Equity securities with readily determinable fair values not held for trading </w:t>
            </w:r>
            <w:r>
              <w:rPr>
                <w:rFonts w:ascii="Times New Roman" w:cs="Times New Roman" w:eastAsia="Times New Roman" w:hAnsi="Times New Roman"/>
                <w:sz w:val="19"/>
                <w:szCs w:val="19"/>
                <w:color w:val="auto"/>
                <w:vertAlign w:val="superscript"/>
              </w:rPr>
              <w:t>(4)</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JA22</w:t>
            </w: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0</wp:posOffset>
            </wp:positionV>
            <wp:extent cx="5513070" cy="1079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5513070" cy="107950"/>
                    </a:xfrm>
                    <a:prstGeom prst="rect">
                      <a:avLst/>
                    </a:prstGeom>
                    <a:noFill/>
                  </pic:spPr>
                </pic:pic>
              </a:graphicData>
            </a:graphic>
          </wp:anchor>
        </w:drawing>
      </w:r>
    </w:p>
    <w:p>
      <w:pPr>
        <w:ind w:left="560" w:hanging="397"/>
        <w:spacing w:after="0"/>
        <w:tabs>
          <w:tab w:leader="none" w:pos="5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funds sold and securities purchased under agreements to resell:</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w:t>
            </w:r>
          </w:p>
        </w:tc>
        <w:tc>
          <w:tcPr>
            <w:tcW w:w="4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 funds sold</w:t>
            </w:r>
          </w:p>
        </w:tc>
        <w:tc>
          <w:tcPr>
            <w:tcW w:w="20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B987</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3.a.</w:t>
            </w:r>
          </w:p>
        </w:tc>
      </w:tr>
      <w:tr>
        <w:trPr>
          <w:trHeight w:val="170"/>
        </w:trPr>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b.</w:t>
            </w:r>
          </w:p>
        </w:tc>
        <w:tc>
          <w:tcPr>
            <w:tcW w:w="468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3"/>
                <w:szCs w:val="13"/>
                <w:color w:val="auto"/>
              </w:rPr>
              <w:t xml:space="preserve">Securities purchased under agreements to resell </w:t>
            </w:r>
            <w:r>
              <w:rPr>
                <w:rFonts w:ascii="Times New Roman" w:cs="Times New Roman" w:eastAsia="Times New Roman" w:hAnsi="Times New Roman"/>
                <w:sz w:val="19"/>
                <w:szCs w:val="19"/>
                <w:color w:val="auto"/>
                <w:vertAlign w:val="superscript"/>
              </w:rPr>
              <w:t>(5, 6)</w:t>
            </w:r>
          </w:p>
        </w:tc>
        <w:tc>
          <w:tcPr>
            <w:tcW w:w="20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B989</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5,920,000</w:t>
            </w: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3.b.</w:t>
            </w:r>
          </w:p>
        </w:tc>
      </w:tr>
    </w:tbl>
    <w:p>
      <w:pPr>
        <w:ind w:left="560" w:hanging="397"/>
        <w:spacing w:after="0"/>
        <w:tabs>
          <w:tab w:leader="none" w:pos="5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and lease financing receivables (from Schedule RC-C):</w:t>
      </w:r>
    </w:p>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7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4.a.</w:t>
            </w:r>
          </w:p>
        </w:tc>
      </w:tr>
      <w:tr>
        <w:trPr>
          <w:trHeight w:val="170"/>
        </w:trPr>
        <w:tc>
          <w:tcPr>
            <w:tcW w:w="2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B528</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15,228,000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4.b.</w:t>
            </w:r>
          </w:p>
        </w:tc>
      </w:tr>
      <w:tr>
        <w:trPr>
          <w:trHeight w:val="170"/>
        </w:trPr>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3123</w:t>
            </w: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22,000</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4.c.</w:t>
            </w:r>
          </w:p>
        </w:tc>
      </w:tr>
      <w:tr>
        <w:trPr>
          <w:trHeight w:val="170"/>
        </w:trPr>
        <w:tc>
          <w:tcPr>
            <w:tcW w:w="2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leases held for investment, net of allowance (item 4.b minus 4.c)</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B529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15,206,000</w:t>
            </w: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4.d.</w:t>
            </w:r>
          </w:p>
        </w:tc>
      </w:tr>
      <w:tr>
        <w:trPr>
          <w:trHeight w:val="17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Trading assets (from Schedule RC-D)</w:t>
            </w:r>
          </w:p>
        </w:tc>
        <w:tc>
          <w:tcPr>
            <w:tcW w:w="7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w:t>
            </w: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7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w:t>
            </w:r>
          </w:p>
        </w:tc>
      </w:tr>
      <w:tr>
        <w:trPr>
          <w:trHeight w:val="17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real estate owned (from Schedule RC-M)</w:t>
            </w:r>
          </w:p>
        </w:tc>
        <w:tc>
          <w:tcPr>
            <w:tcW w:w="7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w:t>
            </w: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w:t>
            </w:r>
          </w:p>
        </w:tc>
      </w:tr>
      <w:tr>
        <w:trPr>
          <w:trHeight w:val="170"/>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7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8.</w:t>
            </w:r>
          </w:p>
        </w:tc>
      </w:tr>
      <w:tr>
        <w:trPr>
          <w:trHeight w:val="17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7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w:t>
            </w:r>
          </w:p>
        </w:tc>
      </w:tr>
      <w:tr>
        <w:trPr>
          <w:trHeight w:val="170"/>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Intangible assets (from Schedule RC-M)</w:t>
            </w:r>
          </w:p>
        </w:tc>
        <w:tc>
          <w:tcPr>
            <w:tcW w:w="7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w:t>
            </w: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10.</w:t>
            </w:r>
          </w:p>
        </w:tc>
      </w:tr>
      <w:tr>
        <w:trPr>
          <w:trHeight w:val="17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w:t>
            </w:r>
          </w:p>
        </w:tc>
        <w:tc>
          <w:tcPr>
            <w:tcW w:w="5040" w:type="dxa"/>
            <w:vAlign w:val="bottom"/>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3"/>
                <w:szCs w:val="13"/>
                <w:color w:val="auto"/>
              </w:rPr>
              <w:t xml:space="preserve">Other assets (from Schedule RC-F) </w:t>
            </w:r>
            <w:r>
              <w:rPr>
                <w:rFonts w:ascii="Times New Roman" w:cs="Times New Roman" w:eastAsia="Times New Roman" w:hAnsi="Times New Roman"/>
                <w:sz w:val="19"/>
                <w:szCs w:val="19"/>
                <w:color w:val="auto"/>
                <w:vertAlign w:val="superscript"/>
              </w:rPr>
              <w:t>(6)</w:t>
            </w:r>
          </w:p>
        </w:tc>
        <w:tc>
          <w:tcPr>
            <w:tcW w:w="7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1,680,000</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assets (sum of items 1 through 11)</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39,663,000</w:t>
            </w:r>
          </w:p>
        </w:tc>
        <w:tc>
          <w:tcPr>
            <w:tcW w:w="120" w:type="dxa"/>
            <w:vAlign w:val="bottom"/>
          </w:tcPr>
          <w:p>
            <w:pPr>
              <w:spacing w:after="0"/>
              <w:rPr>
                <w:sz w:val="14"/>
                <w:szCs w:val="14"/>
                <w:color w:val="auto"/>
              </w:rPr>
            </w:pP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w:t>
            </w:r>
          </w:p>
        </w:tc>
      </w:tr>
    </w:tbl>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-90805</wp:posOffset>
            </wp:positionV>
            <wp:extent cx="5513070" cy="1079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5513070" cy="107950"/>
                    </a:xfrm>
                    <a:prstGeom prst="rect">
                      <a:avLst/>
                    </a:prstGeom>
                    <a:noFill/>
                  </pic:spPr>
                </pic:pic>
              </a:graphicData>
            </a:graphic>
          </wp:anchor>
        </w:drawing>
      </w:r>
    </w:p>
    <w:p>
      <w:pPr>
        <w:spacing w:after="0" w:line="5" w:lineRule="exact"/>
        <w:rPr>
          <w:sz w:val="20"/>
          <w:szCs w:val="20"/>
          <w:color w:val="auto"/>
        </w:rPr>
      </w:pPr>
    </w:p>
    <w:p>
      <w:pPr>
        <w:ind w:left="560" w:hanging="397"/>
        <w:spacing w:after="0"/>
        <w:tabs>
          <w:tab w:leader="none" w:pos="5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w:t>
      </w:r>
    </w:p>
    <w:p>
      <w:pPr>
        <w:spacing w:after="0" w:line="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w:t>
            </w:r>
          </w:p>
        </w:tc>
        <w:tc>
          <w:tcPr>
            <w:tcW w:w="4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 domestic offices (sum of totals of columns A and C from Schedule RC-E)</w:t>
            </w:r>
          </w:p>
        </w:tc>
        <w:tc>
          <w:tcPr>
            <w:tcW w:w="660" w:type="dxa"/>
            <w:vAlign w:val="bottom"/>
            <w:shd w:val="clear" w:color="auto" w:fill="CCEEFF"/>
          </w:tcPr>
          <w:p>
            <w:pPr>
              <w:spacing w:after="0"/>
              <w:rPr>
                <w:sz w:val="13"/>
                <w:szCs w:val="13"/>
                <w:color w:val="auto"/>
              </w:rPr>
            </w:pPr>
          </w:p>
        </w:tc>
        <w:tc>
          <w:tcPr>
            <w:tcW w:w="2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xml:space="preserve">2200   </w:t>
            </w:r>
            <w:r>
              <w:rPr>
                <w:rFonts w:ascii="Times New Roman" w:cs="Times New Roman" w:eastAsia="Times New Roman" w:hAnsi="Times New Roman"/>
                <w:sz w:val="14"/>
                <w:szCs w:val="14"/>
                <w:b w:val="1"/>
                <w:bCs w:val="1"/>
                <w:color w:val="auto"/>
              </w:rPr>
              <w:t>27,706,000</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13.a.</w:t>
            </w:r>
          </w:p>
        </w:tc>
      </w:tr>
      <w:tr>
        <w:trPr>
          <w:trHeight w:val="170"/>
        </w:trPr>
        <w:tc>
          <w:tcPr>
            <w:tcW w:w="62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(1)</w:t>
            </w:r>
          </w:p>
        </w:tc>
        <w:tc>
          <w:tcPr>
            <w:tcW w:w="4460" w:type="dxa"/>
            <w:vAlign w:val="bottom"/>
          </w:tcPr>
          <w:p>
            <w:pPr>
              <w:ind w:left="20"/>
              <w:spacing w:after="0" w:line="171" w:lineRule="exact"/>
              <w:rPr>
                <w:sz w:val="20"/>
                <w:szCs w:val="20"/>
                <w:color w:val="auto"/>
              </w:rPr>
            </w:pPr>
            <w:r>
              <w:rPr>
                <w:rFonts w:ascii="Times New Roman" w:cs="Times New Roman" w:eastAsia="Times New Roman" w:hAnsi="Times New Roman"/>
                <w:sz w:val="13"/>
                <w:szCs w:val="13"/>
                <w:color w:val="auto"/>
              </w:rPr>
              <w:t xml:space="preserve">Noninterest-bearing </w:t>
            </w:r>
            <w:r>
              <w:rPr>
                <w:rFonts w:ascii="Times New Roman" w:cs="Times New Roman" w:eastAsia="Times New Roman" w:hAnsi="Times New Roman"/>
                <w:sz w:val="19"/>
                <w:szCs w:val="19"/>
                <w:color w:val="auto"/>
                <w:vertAlign w:val="superscript"/>
              </w:rPr>
              <w:t>(7)</w:t>
            </w: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6631</w:t>
            </w:r>
          </w:p>
        </w:tc>
        <w:tc>
          <w:tcPr>
            <w:tcW w:w="2100" w:type="dxa"/>
            <w:vAlign w:val="bottom"/>
          </w:tcPr>
          <w:p>
            <w:pPr>
              <w:jc w:val="right"/>
              <w:ind w:right="1309"/>
              <w:spacing w:after="0"/>
              <w:rPr>
                <w:sz w:val="20"/>
                <w:szCs w:val="20"/>
                <w:color w:val="auto"/>
              </w:rPr>
            </w:pPr>
            <w:r>
              <w:rPr>
                <w:rFonts w:ascii="Times New Roman" w:cs="Times New Roman" w:eastAsia="Times New Roman" w:hAnsi="Times New Roman"/>
                <w:sz w:val="14"/>
                <w:szCs w:val="14"/>
                <w:color w:val="auto"/>
              </w:rPr>
              <w:t>7,886,000</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13.a.(1)</w:t>
            </w:r>
          </w:p>
        </w:tc>
      </w:tr>
      <w:tr>
        <w:trPr>
          <w:trHeight w:val="170"/>
        </w:trPr>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7"/>
              </w:rPr>
              <w:t>(2)</w:t>
            </w: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w:t>
            </w: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6636</w:t>
            </w:r>
          </w:p>
        </w:tc>
        <w:tc>
          <w:tcPr>
            <w:tcW w:w="2100" w:type="dxa"/>
            <w:vAlign w:val="bottom"/>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rPr>
              <w:t>19,820,000</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13.a.(2)</w:t>
            </w:r>
          </w:p>
        </w:tc>
      </w:tr>
    </w:tbl>
    <w:p>
      <w:pPr>
        <w:ind w:left="560"/>
        <w:spacing w:after="0"/>
        <w:rPr>
          <w:sz w:val="20"/>
          <w:szCs w:val="20"/>
          <w:color w:val="auto"/>
        </w:rPr>
      </w:pPr>
      <w:r>
        <w:rPr>
          <w:rFonts w:ascii="Times New Roman" w:cs="Times New Roman" w:eastAsia="Times New Roman" w:hAnsi="Times New Roman"/>
          <w:sz w:val="14"/>
          <w:szCs w:val="14"/>
          <w:color w:val="auto"/>
        </w:rPr>
        <w:t>b.   Not applicable</w:t>
      </w:r>
    </w:p>
    <w:p>
      <w:pPr>
        <w:spacing w:after="0" w:line="8" w:lineRule="exact"/>
        <w:rPr>
          <w:sz w:val="20"/>
          <w:szCs w:val="20"/>
          <w:color w:val="auto"/>
        </w:rPr>
      </w:pPr>
    </w:p>
    <w:p>
      <w:pPr>
        <w:ind w:left="560" w:hanging="397"/>
        <w:spacing w:after="0"/>
        <w:tabs>
          <w:tab w:leader="none" w:pos="5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funds purchased and securities sold under agreements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-100965</wp:posOffset>
            </wp:positionV>
            <wp:extent cx="5513070" cy="1079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5513070" cy="10795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5340" w:type="dxa"/>
            <w:vAlign w:val="bottom"/>
          </w:tcPr>
          <w:p>
            <w:pPr>
              <w:ind w:left="100"/>
              <w:spacing w:after="0" w:line="180" w:lineRule="exact"/>
              <w:rPr>
                <w:sz w:val="20"/>
                <w:szCs w:val="20"/>
                <w:color w:val="auto"/>
              </w:rPr>
            </w:pPr>
            <w:r>
              <w:rPr>
                <w:rFonts w:ascii="Times New Roman" w:cs="Times New Roman" w:eastAsia="Times New Roman" w:hAnsi="Times New Roman"/>
                <w:sz w:val="14"/>
                <w:szCs w:val="14"/>
                <w:color w:val="auto"/>
              </w:rPr>
              <w:t xml:space="preserve">Federal funds purchased </w:t>
            </w:r>
            <w:r>
              <w:rPr>
                <w:rFonts w:ascii="Times New Roman" w:cs="Times New Roman" w:eastAsia="Times New Roman" w:hAnsi="Times New Roman"/>
                <w:sz w:val="20"/>
                <w:szCs w:val="20"/>
                <w:color w:val="auto"/>
                <w:vertAlign w:val="superscript"/>
              </w:rPr>
              <w:t>(8)</w:t>
            </w:r>
          </w:p>
        </w:tc>
        <w:tc>
          <w:tcPr>
            <w:tcW w:w="16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B993</w:t>
            </w: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w:t>
            </w:r>
          </w:p>
        </w:tc>
        <w:tc>
          <w:tcPr>
            <w:tcW w:w="5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14.a.</w:t>
            </w:r>
          </w:p>
        </w:tc>
      </w:tr>
      <w:tr>
        <w:trPr>
          <w:trHeight w:val="170"/>
        </w:trPr>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534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3"/>
                <w:szCs w:val="13"/>
                <w:color w:val="auto"/>
              </w:rPr>
              <w:t xml:space="preserve">Securities sold under agreements to repurchase </w:t>
            </w:r>
            <w:r>
              <w:rPr>
                <w:rFonts w:ascii="Times New Roman" w:cs="Times New Roman" w:eastAsia="Times New Roman" w:hAnsi="Times New Roman"/>
                <w:sz w:val="19"/>
                <w:szCs w:val="19"/>
                <w:color w:val="auto"/>
                <w:vertAlign w:val="superscript"/>
              </w:rPr>
              <w:t>(9)</w:t>
            </w:r>
          </w:p>
        </w:tc>
        <w:tc>
          <w:tcPr>
            <w:tcW w:w="16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B995</w:t>
            </w:r>
          </w:p>
        </w:tc>
        <w:tc>
          <w:tcPr>
            <w:tcW w:w="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w:t>
            </w:r>
          </w:p>
        </w:tc>
        <w:tc>
          <w:tcPr>
            <w:tcW w:w="5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14.b.</w:t>
            </w:r>
          </w:p>
        </w:tc>
      </w:tr>
      <w:tr>
        <w:trPr>
          <w:trHeight w:val="170"/>
        </w:trPr>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1"/>
              </w:rPr>
              <w:t>15.</w:t>
            </w: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liabilities (from Schedule RC-D)</w:t>
            </w:r>
          </w:p>
        </w:tc>
        <w:tc>
          <w:tcPr>
            <w:tcW w:w="16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3548</w:t>
            </w: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0</w:t>
            </w:r>
          </w:p>
        </w:tc>
        <w:tc>
          <w:tcPr>
            <w:tcW w:w="5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15.</w:t>
            </w:r>
          </w:p>
        </w:tc>
      </w:tr>
      <w:tr>
        <w:trPr>
          <w:trHeight w:val="170"/>
        </w:trPr>
        <w:tc>
          <w:tcPr>
            <w:tcW w:w="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1"/>
              </w:rPr>
              <w:t>16.</w:t>
            </w:r>
          </w:p>
        </w:tc>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borrowed money (includes mortgage indebtedness) (from Schedule RC-M)</w:t>
            </w:r>
          </w:p>
        </w:tc>
        <w:tc>
          <w:tcPr>
            <w:tcW w:w="16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3190</w:t>
            </w:r>
          </w:p>
        </w:tc>
        <w:tc>
          <w:tcPr>
            <w:tcW w:w="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0</w:t>
            </w:r>
          </w:p>
        </w:tc>
        <w:tc>
          <w:tcPr>
            <w:tcW w:w="5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16.</w:t>
            </w:r>
          </w:p>
        </w:tc>
      </w:tr>
    </w:tbl>
    <w:p>
      <w:pPr>
        <w:ind w:left="560" w:hanging="397"/>
        <w:spacing w:after="0"/>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18. Not applicable</w:t>
      </w:r>
    </w:p>
    <w:p>
      <w:pPr>
        <w:spacing w:after="0" w:line="9" w:lineRule="exact"/>
        <w:rPr>
          <w:sz w:val="20"/>
          <w:szCs w:val="20"/>
          <w:color w:val="auto"/>
        </w:rPr>
      </w:pPr>
    </w:p>
    <w:p>
      <w:pPr>
        <w:ind w:left="160"/>
        <w:spacing w:after="0"/>
        <w:tabs>
          <w:tab w:leader="none" w:pos="540" w:val="left"/>
          <w:tab w:leader="none" w:pos="7080" w:val="left"/>
          <w:tab w:leader="none" w:pos="8100" w:val="left"/>
          <w:tab w:leader="none" w:pos="8440" w:val="left"/>
        </w:tabs>
        <w:rPr>
          <w:sz w:val="20"/>
          <w:szCs w:val="20"/>
          <w:color w:val="auto"/>
        </w:rPr>
      </w:pPr>
      <w:r>
        <w:rPr>
          <w:rFonts w:ascii="Times New Roman" w:cs="Times New Roman" w:eastAsia="Times New Roman" w:hAnsi="Times New Roman"/>
          <w:sz w:val="14"/>
          <w:szCs w:val="14"/>
          <w:color w:val="auto"/>
        </w:rPr>
        <w:t>19.</w:t>
        <w:tab/>
        <w:t xml:space="preserve">Subordinated notes and debentures </w:t>
      </w:r>
      <w:r>
        <w:rPr>
          <w:rFonts w:ascii="Times New Roman" w:cs="Times New Roman" w:eastAsia="Times New Roman" w:hAnsi="Times New Roman"/>
          <w:sz w:val="21"/>
          <w:szCs w:val="21"/>
          <w:color w:val="auto"/>
          <w:vertAlign w:val="superscript"/>
        </w:rPr>
        <w:t>(10)</w:t>
      </w:r>
      <w:r>
        <w:rPr>
          <w:sz w:val="20"/>
          <w:szCs w:val="20"/>
          <w:color w:val="auto"/>
        </w:rPr>
        <w:tab/>
      </w:r>
      <w:r>
        <w:rPr>
          <w:rFonts w:ascii="Times New Roman" w:cs="Times New Roman" w:eastAsia="Times New Roman" w:hAnsi="Times New Roman"/>
          <w:sz w:val="14"/>
          <w:szCs w:val="14"/>
          <w:color w:val="auto"/>
        </w:rPr>
        <w:t>3200</w:t>
      </w:r>
      <w:r>
        <w:rPr>
          <w:sz w:val="20"/>
          <w:szCs w:val="20"/>
          <w:color w:val="auto"/>
        </w:rPr>
        <w:tab/>
      </w:r>
      <w:r>
        <w:rPr>
          <w:rFonts w:ascii="Times New Roman" w:cs="Times New Roman" w:eastAsia="Times New Roman" w:hAnsi="Times New Roman"/>
          <w:sz w:val="14"/>
          <w:szCs w:val="14"/>
          <w:color w:val="auto"/>
        </w:rPr>
        <w:t>0</w:t>
      </w:r>
      <w:r>
        <w:rPr>
          <w:sz w:val="20"/>
          <w:szCs w:val="20"/>
          <w:color w:val="auto"/>
        </w:rPr>
        <w:tab/>
      </w: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-152400</wp:posOffset>
            </wp:positionV>
            <wp:extent cx="5513070" cy="1079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5513070" cy="107950"/>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29210</wp:posOffset>
            </wp:positionV>
            <wp:extent cx="60833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44" w:lineRule="exact"/>
        <w:rPr>
          <w:sz w:val="20"/>
          <w:szCs w:val="20"/>
          <w:color w:val="auto"/>
        </w:rPr>
      </w:pPr>
    </w:p>
    <w:p>
      <w:pPr>
        <w:ind w:left="500" w:hanging="337"/>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items in process of collection and unposted debits.</w:t>
      </w:r>
    </w:p>
    <w:p>
      <w:pPr>
        <w:spacing w:after="0" w:line="23"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time certificates of deposit not held for trading.</w:t>
      </w:r>
    </w:p>
    <w:p>
      <w:pPr>
        <w:spacing w:after="0" w:line="9" w:lineRule="exact"/>
        <w:rPr>
          <w:rFonts w:ascii="Times New Roman" w:cs="Times New Roman" w:eastAsia="Times New Roman" w:hAnsi="Times New Roman"/>
          <w:sz w:val="14"/>
          <w:szCs w:val="14"/>
          <w:color w:val="auto"/>
        </w:rPr>
      </w:pPr>
    </w:p>
    <w:p>
      <w:pPr>
        <w:ind w:left="500" w:right="259" w:hanging="337"/>
        <w:spacing w:after="0" w:line="253" w:lineRule="auto"/>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Institutions should report in item 2.a amounts net of any applicable allowance for credit losses, and item 2.a should equal Schedule RC-B, item 8, column A, less Schedule RI-B, Part II, item 7, column B.</w:t>
      </w:r>
    </w:p>
    <w:p>
      <w:pPr>
        <w:spacing w:after="0" w:line="1" w:lineRule="exact"/>
        <w:rPr>
          <w:rFonts w:ascii="Times New Roman" w:cs="Times New Roman" w:eastAsia="Times New Roman" w:hAnsi="Times New Roman"/>
          <w:sz w:val="14"/>
          <w:szCs w:val="14"/>
          <w:color w:val="auto"/>
        </w:rPr>
      </w:pPr>
    </w:p>
    <w:p>
      <w:pPr>
        <w:ind w:left="500" w:right="259" w:hanging="337"/>
        <w:spacing w:after="0" w:line="253" w:lineRule="auto"/>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Item 2.c is to be completed by all institutions. See the instructions for this item and the Glossary entry for “Securities Activities” for further detail on accounting for investments in equity securities.</w:t>
      </w:r>
    </w:p>
    <w:p>
      <w:pPr>
        <w:spacing w:after="0" w:line="1"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 securities resale agreements, regardless of maturity.</w:t>
      </w:r>
    </w:p>
    <w:p>
      <w:pPr>
        <w:spacing w:after="0" w:line="9"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Institutions should report in items 3.b and 11 amounts net of any applicable allowance for credit losses.</w:t>
      </w:r>
    </w:p>
    <w:p>
      <w:pPr>
        <w:spacing w:after="0" w:line="9"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noninterest-bearing demand, time, and savings deposits.</w:t>
      </w:r>
    </w:p>
    <w:p>
      <w:pPr>
        <w:spacing w:after="0" w:line="9" w:lineRule="exact"/>
        <w:rPr>
          <w:rFonts w:ascii="Times New Roman" w:cs="Times New Roman" w:eastAsia="Times New Roman" w:hAnsi="Times New Roman"/>
          <w:sz w:val="14"/>
          <w:szCs w:val="14"/>
          <w:b w:val="1"/>
          <w:bCs w:val="1"/>
          <w:color w:val="auto"/>
        </w:rPr>
      </w:pPr>
    </w:p>
    <w:p>
      <w:pPr>
        <w:ind w:left="500" w:hanging="337"/>
        <w:spacing w:after="0"/>
        <w:tabs>
          <w:tab w:leader="none" w:pos="50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Report overnight Federal Home Loan Bank advances in Schedule RC, item 16, “Other borrowed money.”</w:t>
      </w:r>
    </w:p>
    <w:p>
      <w:pPr>
        <w:spacing w:after="0" w:line="9" w:lineRule="exact"/>
        <w:rPr>
          <w:rFonts w:ascii="Times New Roman" w:cs="Times New Roman" w:eastAsia="Times New Roman" w:hAnsi="Times New Roman"/>
          <w:sz w:val="14"/>
          <w:szCs w:val="14"/>
          <w:b w:val="1"/>
          <w:bCs w:val="1"/>
          <w:color w:val="auto"/>
        </w:rPr>
      </w:pPr>
    </w:p>
    <w:p>
      <w:pPr>
        <w:ind w:left="500" w:hanging="337"/>
        <w:spacing w:after="0"/>
        <w:tabs>
          <w:tab w:leader="none" w:pos="50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all securities repurchase agreements, regardless of maturity.</w:t>
      </w:r>
    </w:p>
    <w:p>
      <w:pPr>
        <w:spacing w:after="0" w:line="9" w:lineRule="exact"/>
        <w:rPr>
          <w:rFonts w:ascii="Times New Roman" w:cs="Times New Roman" w:eastAsia="Times New Roman" w:hAnsi="Times New Roman"/>
          <w:sz w:val="14"/>
          <w:szCs w:val="14"/>
          <w:b w:val="1"/>
          <w:bCs w:val="1"/>
          <w:color w:val="auto"/>
        </w:rPr>
      </w:pPr>
    </w:p>
    <w:p>
      <w:pPr>
        <w:ind w:left="500" w:hanging="337"/>
        <w:spacing w:after="0"/>
        <w:tabs>
          <w:tab w:leader="none" w:pos="50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limited-life preferred stock and related surplus.</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color w:val="auto"/>
        </w:rPr>
        <w:t>06/2012</w:t>
      </w:r>
    </w:p>
    <w:p>
      <w:pPr>
        <w:spacing w:after="0" w:line="2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color w:val="auto"/>
        </w:rPr>
        <w:t>03/2025</w:t>
      </w:r>
    </w:p>
    <w:p>
      <w:pPr>
        <w:sectPr>
          <w:pgSz w:w="11900" w:h="16838" w:orient="portrait"/>
          <w:cols w:equalWidth="0" w:num="1">
            <w:col w:w="9019"/>
          </w:cols>
          <w:pgMar w:left="1440" w:top="242" w:right="1440" w:bottom="1440" w:gutter="0" w:footer="0" w:header="0"/>
        </w:sectPr>
      </w:pPr>
    </w:p>
    <w:bookmarkStart w:id="68" w:name="page69"/>
    <w:bookmarkEnd w:id="68"/>
    <w:tbl>
      <w:tblPr>
        <w:tblLayout w:type="fixed"/>
        <w:tblInd w:w="16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 xml:space="preserve">FFIEC 041    </w:t>
            </w:r>
          </w:p>
        </w:tc>
      </w:tr>
      <w:tr>
        <w:trPr>
          <w:trHeight w:val="170"/>
        </w:trPr>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Page 17 of 86</w:t>
            </w:r>
          </w:p>
        </w:tc>
      </w:tr>
      <w:tr>
        <w:trPr>
          <w:trHeight w:val="184"/>
        </w:trPr>
        <w:tc>
          <w:tcPr>
            <w:tcW w:w="2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w w:val="85"/>
              </w:rPr>
              <w:t>RC-2 </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340"/>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Schedule RC—Continued</w:t>
            </w: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 Amounts in Thousands</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RCON</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Amount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0"/>
        </w:trPr>
        <w:tc>
          <w:tcPr>
            <w:tcW w:w="440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Liabilities—continued</w:t>
            </w:r>
          </w:p>
        </w:tc>
        <w:tc>
          <w:tcPr>
            <w:tcW w:w="9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20.</w:t>
            </w: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liabilities (from Schedule RC-G)</w:t>
            </w:r>
          </w:p>
        </w:tc>
        <w:tc>
          <w:tcPr>
            <w:tcW w:w="24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 xml:space="preserve">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2,046,000</w:t>
            </w: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r>
      <w:tr>
        <w:trPr>
          <w:trHeight w:val="21"/>
        </w:trPr>
        <w:tc>
          <w:tcPr>
            <w:tcW w:w="2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21.</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 (sum of items 13 through 20)</w:t>
            </w:r>
          </w:p>
        </w:tc>
        <w:tc>
          <w:tcPr>
            <w:tcW w:w="9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29,752,000</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4"/>
                <w:szCs w:val="14"/>
                <w:color w:val="auto"/>
              </w:rPr>
            </w:pPr>
          </w:p>
        </w:tc>
      </w:tr>
      <w:tr>
        <w:trPr>
          <w:trHeight w:val="171"/>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22.</w:t>
            </w: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 applicable</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4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Capital</w:t>
            </w:r>
          </w:p>
        </w:tc>
        <w:tc>
          <w:tcPr>
            <w:tcW w:w="9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Bank Equity Capital</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23.</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9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3838</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4"/>
                <w:szCs w:val="14"/>
                <w:color w:val="auto"/>
              </w:rPr>
            </w:pP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24.</w:t>
            </w: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Common stock</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3230</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2,127,000</w:t>
            </w: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4"/>
                <w:szCs w:val="14"/>
                <w:color w:val="auto"/>
              </w:rPr>
            </w:pPr>
          </w:p>
        </w:tc>
      </w:tr>
      <w:tr>
        <w:trPr>
          <w:trHeight w:val="17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25.</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9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3839</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933,000</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4"/>
                <w:szCs w:val="14"/>
                <w:color w:val="auto"/>
              </w:rPr>
            </w:pP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26.</w:t>
            </w: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  Retained earnings</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3632</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6,877,000</w:t>
            </w: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26.a.</w:t>
            </w:r>
          </w:p>
        </w:tc>
        <w:tc>
          <w:tcPr>
            <w:tcW w:w="20" w:type="dxa"/>
            <w:vAlign w:val="bottom"/>
          </w:tcPr>
          <w:p>
            <w:pPr>
              <w:spacing w:after="0"/>
              <w:rPr>
                <w:sz w:val="14"/>
                <w:szCs w:val="14"/>
                <w:color w:val="auto"/>
              </w:rPr>
            </w:pPr>
          </w:p>
        </w:tc>
      </w:tr>
      <w:tr>
        <w:trPr>
          <w:trHeight w:val="170"/>
        </w:trPr>
        <w:tc>
          <w:tcPr>
            <w:tcW w:w="2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  Accumulated other comprehensive income (1)</w:t>
            </w:r>
          </w:p>
        </w:tc>
        <w:tc>
          <w:tcPr>
            <w:tcW w:w="9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B530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(26,000)</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26.b.</w:t>
            </w:r>
          </w:p>
        </w:tc>
        <w:tc>
          <w:tcPr>
            <w:tcW w:w="2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  Other equity capital components (2)</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A130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w:t>
            </w: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26.c.</w:t>
            </w:r>
          </w:p>
        </w:tc>
        <w:tc>
          <w:tcPr>
            <w:tcW w:w="20" w:type="dxa"/>
            <w:vAlign w:val="bottom"/>
          </w:tcPr>
          <w:p>
            <w:pPr>
              <w:spacing w:after="0"/>
              <w:rPr>
                <w:sz w:val="14"/>
                <w:szCs w:val="14"/>
                <w:color w:val="auto"/>
              </w:rPr>
            </w:pPr>
          </w:p>
        </w:tc>
      </w:tr>
      <w:tr>
        <w:trPr>
          <w:trHeight w:val="17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27.</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  Total bank equity capital (sum of items 23 through 26.c)</w:t>
            </w:r>
          </w:p>
        </w:tc>
        <w:tc>
          <w:tcPr>
            <w:tcW w:w="9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3210</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9,911,000</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27.a.</w:t>
            </w:r>
          </w:p>
        </w:tc>
        <w:tc>
          <w:tcPr>
            <w:tcW w:w="2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  Noncontrolling (minority) interests in consolidated subsidiaries</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w:t>
            </w: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27.b.</w:t>
            </w:r>
          </w:p>
        </w:tc>
        <w:tc>
          <w:tcPr>
            <w:tcW w:w="20" w:type="dxa"/>
            <w:vAlign w:val="bottom"/>
          </w:tcPr>
          <w:p>
            <w:pPr>
              <w:spacing w:after="0"/>
              <w:rPr>
                <w:sz w:val="14"/>
                <w:szCs w:val="14"/>
                <w:color w:val="auto"/>
              </w:rPr>
            </w:pPr>
          </w:p>
        </w:tc>
      </w:tr>
      <w:tr>
        <w:trPr>
          <w:trHeight w:val="21"/>
        </w:trPr>
        <w:tc>
          <w:tcPr>
            <w:tcW w:w="2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28.</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equity capital (sum of items 27.a and 27.b)</w:t>
            </w:r>
          </w:p>
        </w:tc>
        <w:tc>
          <w:tcPr>
            <w:tcW w:w="9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G105</w:t>
            </w:r>
          </w:p>
        </w:tc>
        <w:tc>
          <w:tcPr>
            <w:tcW w:w="120" w:type="dxa"/>
            <w:vAlign w:val="bottom"/>
            <w:gridSpan w:val="2"/>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9,911,000</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4"/>
                <w:szCs w:val="14"/>
                <w:color w:val="auto"/>
              </w:rPr>
            </w:pPr>
          </w:p>
        </w:tc>
      </w:tr>
      <w:tr>
        <w:trPr>
          <w:trHeight w:val="172"/>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29.</w:t>
            </w: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and equity capital (sum of items 21 and 28)</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39,663,000</w:t>
            </w:r>
          </w:p>
        </w:tc>
        <w:tc>
          <w:tcPr>
            <w:tcW w:w="24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4"/>
                <w:szCs w:val="14"/>
                <w:color w:val="auto"/>
              </w:rPr>
            </w:pPr>
          </w:p>
        </w:tc>
      </w:tr>
    </w:tbl>
    <w:p>
      <w:pPr>
        <w:spacing w:after="0"/>
        <w:rPr>
          <w:sz w:val="20"/>
          <w:szCs w:val="20"/>
          <w:color w:val="auto"/>
        </w:rPr>
        <w:sectPr>
          <w:pgSz w:w="11900" w:h="16838" w:orient="portrait"/>
          <w:cols w:equalWidth="0" w:num="1">
            <w:col w:w="9019"/>
          </w:cols>
          <w:pgMar w:left="1440" w:top="242" w:right="1440" w:bottom="1440" w:gutter="0" w:footer="0" w:header="0"/>
        </w:sect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Memoranda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-90805</wp:posOffset>
            </wp:positionV>
            <wp:extent cx="5513070" cy="1079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5513070" cy="107950"/>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To be reported with the March Report of Condition.</w:t>
      </w:r>
    </w:p>
    <w:p>
      <w:pPr>
        <w:spacing w:after="0" w:line="9" w:lineRule="exact"/>
        <w:rPr>
          <w:sz w:val="20"/>
          <w:szCs w:val="20"/>
          <w:color w:val="auto"/>
        </w:rPr>
      </w:pPr>
    </w:p>
    <w:p>
      <w:pPr>
        <w:ind w:left="420" w:hanging="257"/>
        <w:spacing w:after="0" w:line="267" w:lineRule="auto"/>
        <w:tabs>
          <w:tab w:leader="none" w:pos="4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Indicate in the box at the right the number of the statement below that best describes the most comprehensive level of auditing work performed for the bank by independent external auditors as of any date during </w:t>
      </w:r>
      <w:r>
        <w:rPr>
          <w:rFonts w:ascii="Times New Roman" w:cs="Times New Roman" w:eastAsia="Times New Roman" w:hAnsi="Times New Roman"/>
          <w:sz w:val="14"/>
          <w:szCs w:val="14"/>
          <w:i w:val="1"/>
          <w:i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-226695</wp:posOffset>
            </wp:positionV>
            <wp:extent cx="5513070" cy="215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5513070" cy="215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1"/>
          <w:szCs w:val="11"/>
          <w:color w:val="auto"/>
        </w:rPr>
        <w:t>RCON</w:t>
      </w:r>
      <w:r>
        <w:rPr>
          <w:sz w:val="20"/>
          <w:szCs w:val="20"/>
          <w:color w:val="auto"/>
        </w:rPr>
        <w:tab/>
      </w:r>
      <w:r>
        <w:rPr>
          <w:rFonts w:ascii="Times New Roman" w:cs="Times New Roman" w:eastAsia="Times New Roman" w:hAnsi="Times New Roman"/>
          <w:sz w:val="11"/>
          <w:szCs w:val="11"/>
          <w:color w:val="auto"/>
        </w:rPr>
        <w:t>Number</w:t>
      </w:r>
    </w:p>
    <w:p>
      <w:pPr>
        <w:spacing w:after="0" w:line="163" w:lineRule="exact"/>
        <w:rPr>
          <w:sz w:val="20"/>
          <w:szCs w:val="20"/>
          <w:color w:val="auto"/>
        </w:rPr>
      </w:pPr>
    </w:p>
    <w:p>
      <w:pPr>
        <w:spacing w:after="0"/>
        <w:tabs>
          <w:tab w:leader="none" w:pos="1020" w:val="left"/>
          <w:tab w:leader="none" w:pos="1360" w:val="left"/>
        </w:tabs>
        <w:rPr>
          <w:sz w:val="20"/>
          <w:szCs w:val="20"/>
          <w:color w:val="auto"/>
        </w:rPr>
      </w:pPr>
      <w:r>
        <w:rPr>
          <w:rFonts w:ascii="Times New Roman" w:cs="Times New Roman" w:eastAsia="Times New Roman" w:hAnsi="Times New Roman"/>
          <w:sz w:val="14"/>
          <w:szCs w:val="14"/>
          <w:color w:val="auto"/>
        </w:rPr>
        <w:t>67024</w:t>
      </w:r>
      <w:r>
        <w:rPr>
          <w:sz w:val="20"/>
          <w:szCs w:val="20"/>
          <w:color w:val="auto"/>
        </w:rPr>
        <w:tab/>
      </w:r>
      <w:r>
        <w:rPr>
          <w:rFonts w:ascii="Times New Roman" w:cs="Times New Roman" w:eastAsia="Times New Roman" w:hAnsi="Times New Roman"/>
          <w:sz w:val="14"/>
          <w:szCs w:val="14"/>
          <w:color w:val="auto"/>
        </w:rPr>
        <w:t>2a</w:t>
      </w:r>
      <w:r>
        <w:rPr>
          <w:sz w:val="20"/>
          <w:szCs w:val="20"/>
          <w:color w:val="auto"/>
        </w:rPr>
        <w:tab/>
      </w:r>
      <w:r>
        <w:rPr>
          <w:rFonts w:ascii="Times New Roman" w:cs="Times New Roman" w:eastAsia="Times New Roman" w:hAnsi="Times New Roman"/>
          <w:sz w:val="13"/>
          <w:szCs w:val="13"/>
          <w:color w:val="auto"/>
        </w:rPr>
        <w:t>M.1.</w:t>
      </w:r>
    </w:p>
    <w:p>
      <w:pPr>
        <w:spacing w:after="0" w:line="241" w:lineRule="exact"/>
        <w:rPr>
          <w:sz w:val="20"/>
          <w:szCs w:val="20"/>
          <w:color w:val="auto"/>
        </w:rPr>
      </w:pPr>
    </w:p>
    <w:p>
      <w:pPr>
        <w:sectPr>
          <w:pgSz w:w="11900" w:h="16838" w:orient="portrait"/>
          <w:cols w:equalWidth="0" w:num="2">
            <w:col w:w="6620" w:space="420"/>
            <w:col w:w="1979"/>
          </w:cols>
          <w:pgMar w:left="1440" w:top="242" w:right="1440" w:bottom="1440" w:gutter="0" w:footer="0" w:header="0"/>
          <w:type w:val="continuous"/>
        </w:sectPr>
      </w:pPr>
    </w:p>
    <w:p>
      <w:pPr>
        <w:spacing w:after="0" w:line="2" w:lineRule="exact"/>
        <w:rPr>
          <w:sz w:val="20"/>
          <w:szCs w:val="20"/>
          <w:color w:val="auto"/>
        </w:rPr>
      </w:pPr>
    </w:p>
    <w:p>
      <w:pPr>
        <w:ind w:left="460" w:right="420" w:hanging="286"/>
        <w:spacing w:after="0" w:line="256" w:lineRule="auto"/>
        <w:rPr>
          <w:sz w:val="20"/>
          <w:szCs w:val="20"/>
          <w:color w:val="auto"/>
        </w:rPr>
      </w:pPr>
      <w:r>
        <w:rPr>
          <w:rFonts w:ascii="Times New Roman" w:cs="Times New Roman" w:eastAsia="Times New Roman" w:hAnsi="Times New Roman"/>
          <w:sz w:val="14"/>
          <w:szCs w:val="14"/>
          <w:color w:val="auto"/>
        </w:rPr>
        <w:t>1a = An integrated audit of the reporting institution’s financial statements and its internal control over financial reporting conducted in accordance with the standards of the American Institute of Certified Public Accountants (AICPA) or Public Company Accounting Oversight Board (PCAOB) by an independent public accountant that submits a report on the institution</w:t>
      </w:r>
    </w:p>
    <w:p>
      <w:pPr>
        <w:spacing w:after="0" w:line="4" w:lineRule="exact"/>
        <w:rPr>
          <w:sz w:val="20"/>
          <w:szCs w:val="20"/>
          <w:color w:val="auto"/>
        </w:rPr>
      </w:pPr>
    </w:p>
    <w:p>
      <w:pPr>
        <w:ind w:left="460" w:right="80" w:hanging="286"/>
        <w:spacing w:after="0" w:line="253" w:lineRule="auto"/>
        <w:rPr>
          <w:sz w:val="20"/>
          <w:szCs w:val="20"/>
          <w:color w:val="auto"/>
        </w:rPr>
      </w:pPr>
      <w:r>
        <w:rPr>
          <w:rFonts w:ascii="Times New Roman" w:cs="Times New Roman" w:eastAsia="Times New Roman" w:hAnsi="Times New Roman"/>
          <w:sz w:val="14"/>
          <w:szCs w:val="14"/>
          <w:color w:val="auto"/>
        </w:rPr>
        <w:t>1b = An audit of the reporting institution’s financial statements only conducted in accordance with the auditing standards of the AICPA or the PCAOB by an independent public accountant that submits a report on the institution</w:t>
      </w:r>
    </w:p>
    <w:p>
      <w:pPr>
        <w:spacing w:after="0" w:line="2" w:lineRule="exact"/>
        <w:rPr>
          <w:sz w:val="20"/>
          <w:szCs w:val="20"/>
          <w:color w:val="auto"/>
        </w:rPr>
      </w:pPr>
    </w:p>
    <w:p>
      <w:pPr>
        <w:ind w:left="460" w:hanging="286"/>
        <w:spacing w:after="0" w:line="256" w:lineRule="auto"/>
        <w:rPr>
          <w:sz w:val="20"/>
          <w:szCs w:val="20"/>
          <w:color w:val="auto"/>
        </w:rPr>
      </w:pPr>
      <w:r>
        <w:rPr>
          <w:rFonts w:ascii="Times New Roman" w:cs="Times New Roman" w:eastAsia="Times New Roman" w:hAnsi="Times New Roman"/>
          <w:sz w:val="14"/>
          <w:szCs w:val="14"/>
          <w:color w:val="auto"/>
        </w:rPr>
        <w:t>2a = An integrated audit of the reporting institution’s parent holding company’s consolidated financial statements and its internal control over financial reporting conducted in accordance with the standards of the AICPA or the PCAOB by an independent public accountant that submits a report on the consolidated holding company (but not on the institution separately)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2b = An audit of the reporting institution’s parent holding company’s</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consolidated financial statements only conducted in accordance with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the auditing standards of the AICPA or the PCAOB by an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independent public accountant that submits a report on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consolidated holding company (but not on the institution separately)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  This number is not to be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  Directors’ examination of the bank conducted in accordance with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generally accepted auditing standards by a certified public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accounting firm (may be required by state-chartering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 =  Directors’ examination of the bank performed by other external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auditors (may be required by state-chartering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 =  Review of the bank’s financial statements by external auditors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 =  Compilation of the bank’s financial statements by external auditors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 =  Other audit procedures (excluding tax preparation 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 =  No external audit work</w:t>
      </w:r>
    </w:p>
    <w:p>
      <w:pPr>
        <w:spacing w:after="0" w:line="558" w:lineRule="exact"/>
        <w:rPr>
          <w:sz w:val="20"/>
          <w:szCs w:val="20"/>
          <w:color w:val="auto"/>
        </w:rPr>
      </w:pPr>
    </w:p>
    <w:p>
      <w:pPr>
        <w:sectPr>
          <w:pgSz w:w="11900" w:h="16838" w:orient="portrait"/>
          <w:cols w:equalWidth="0" w:num="2">
            <w:col w:w="4300" w:space="300"/>
            <w:col w:w="4419"/>
          </w:cols>
          <w:pgMar w:left="1440" w:top="242" w:right="1440" w:bottom="1440" w:gutter="0" w:footer="0" w:header="0"/>
          <w:type w:val="continuous"/>
        </w:sectPr>
      </w:pP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7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 be reported with the March Report of Condition.</w:t>
            </w:r>
          </w:p>
        </w:tc>
        <w:tc>
          <w:tcPr>
            <w:tcW w:w="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RCON</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Date</w:t>
            </w:r>
          </w:p>
        </w:tc>
      </w:tr>
      <w:tr>
        <w:trPr>
          <w:trHeight w:val="161"/>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 Bank’s fiscal year-end date (report the date in MMDD format)</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8678</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2"/>
              </w:rPr>
              <w:t>1231</w:t>
            </w:r>
          </w:p>
        </w:tc>
        <w:tc>
          <w:tcPr>
            <w:tcW w:w="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M.2.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67310</wp:posOffset>
            </wp:positionV>
            <wp:extent cx="60833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14" w:lineRule="exact"/>
        <w:rPr>
          <w:sz w:val="20"/>
          <w:szCs w:val="20"/>
          <w:color w:val="auto"/>
        </w:rPr>
      </w:pPr>
    </w:p>
    <w:p>
      <w:pPr>
        <w:ind w:left="500" w:right="379" w:hanging="337"/>
        <w:spacing w:after="0" w:line="264" w:lineRule="auto"/>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but is not limited to, net unrealized holding gains (losses) on available-for-sale securities, accumulated net gains (losses) on cash flow hedges, and accumulated defined benefit pension and other postretirement plan adjustments.</w:t>
      </w:r>
    </w:p>
    <w:p>
      <w:pPr>
        <w:ind w:left="500" w:hanging="337"/>
        <w:spacing w:after="0"/>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treasury stock and unearned Employee Stock Ownership Plan shares.</w:t>
      </w:r>
    </w:p>
    <w:p>
      <w:pPr>
        <w:spacing w:after="0" w:line="165"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4"/>
          <w:szCs w:val="14"/>
          <w:color w:val="auto"/>
        </w:rPr>
        <w:t>06/2012</w:t>
      </w:r>
    </w:p>
    <w:p>
      <w:pPr>
        <w:sectPr>
          <w:pgSz w:w="11900" w:h="16838" w:orient="portrait"/>
          <w:cols w:equalWidth="0" w:num="1">
            <w:col w:w="9019"/>
          </w:cols>
          <w:pgMar w:left="1440" w:top="242" w:right="1440" w:bottom="1440" w:gutter="0" w:footer="0" w:header="0"/>
          <w:type w:val="continuous"/>
        </w:sectPr>
      </w:pPr>
    </w:p>
    <w:bookmarkStart w:id="69" w:name="page70"/>
    <w:bookmarkEnd w:id="69"/>
    <w:p>
      <w:pPr>
        <w:spacing w:after="0" w:line="49" w:lineRule="exact"/>
        <w:rPr>
          <w:sz w:val="20"/>
          <w:szCs w:val="20"/>
          <w:color w:val="auto"/>
        </w:rPr>
      </w:pPr>
    </w:p>
    <w:p>
      <w:pPr>
        <w:ind w:left="3423"/>
        <w:spacing w:after="0"/>
        <w:rPr>
          <w:sz w:val="20"/>
          <w:szCs w:val="20"/>
          <w:color w:val="auto"/>
        </w:rPr>
      </w:pPr>
      <w:r>
        <w:rPr>
          <w:rFonts w:ascii="Arial" w:cs="Arial" w:eastAsia="Arial" w:hAnsi="Arial"/>
          <w:sz w:val="28"/>
          <w:szCs w:val="28"/>
          <w:b w:val="1"/>
          <w:bCs w:val="1"/>
          <w:color w:val="auto"/>
        </w:rPr>
        <w:t>Calculation of Filing Fee Tables</w:t>
      </w:r>
    </w:p>
    <w:p>
      <w:pPr>
        <w:spacing w:after="0" w:line="178" w:lineRule="exact"/>
        <w:rPr>
          <w:sz w:val="20"/>
          <w:szCs w:val="20"/>
          <w:color w:val="auto"/>
        </w:rPr>
      </w:pPr>
    </w:p>
    <w:p>
      <w:pPr>
        <w:ind w:left="5323"/>
        <w:spacing w:after="0"/>
        <w:rPr>
          <w:sz w:val="20"/>
          <w:szCs w:val="20"/>
          <w:color w:val="auto"/>
        </w:rPr>
      </w:pPr>
      <w:r>
        <w:rPr>
          <w:rFonts w:ascii="Arial" w:cs="Arial" w:eastAsia="Arial" w:hAnsi="Arial"/>
          <w:sz w:val="28"/>
          <w:szCs w:val="28"/>
          <w:b w:val="1"/>
          <w:bCs w:val="1"/>
          <w:color w:val="auto"/>
        </w:rPr>
        <w:t>S-3</w:t>
      </w:r>
    </w:p>
    <w:p>
      <w:pPr>
        <w:spacing w:after="0" w:line="104" w:lineRule="exact"/>
        <w:rPr>
          <w:sz w:val="20"/>
          <w:szCs w:val="20"/>
          <w:color w:val="auto"/>
        </w:rPr>
      </w:pPr>
    </w:p>
    <w:p>
      <w:pPr>
        <w:jc w:val="center"/>
        <w:ind w:right="197"/>
        <w:spacing w:after="0"/>
        <w:rPr>
          <w:sz w:val="20"/>
          <w:szCs w:val="20"/>
          <w:color w:val="auto"/>
        </w:rPr>
      </w:pPr>
      <w:r>
        <w:rPr>
          <w:rFonts w:ascii="Arial" w:cs="Arial" w:eastAsia="Arial" w:hAnsi="Arial"/>
          <w:sz w:val="28"/>
          <w:szCs w:val="28"/>
          <w:b w:val="1"/>
          <w:bCs w:val="1"/>
          <w:color w:val="auto"/>
        </w:rPr>
        <w:t>NXP Semiconductors N.V.</w:t>
      </w:r>
    </w:p>
    <w:p>
      <w:pPr>
        <w:spacing w:after="0" w:line="106" w:lineRule="exact"/>
        <w:rPr>
          <w:sz w:val="20"/>
          <w:szCs w:val="20"/>
          <w:color w:val="auto"/>
        </w:rPr>
      </w:pPr>
    </w:p>
    <w:p>
      <w:pPr>
        <w:ind w:left="3"/>
        <w:spacing w:after="0" w:line="196" w:lineRule="exact"/>
        <w:tabs>
          <w:tab w:leader="none" w:pos="9863" w:val="left"/>
        </w:tabs>
        <w:rPr>
          <w:sz w:val="20"/>
          <w:szCs w:val="20"/>
          <w:color w:val="auto"/>
        </w:rPr>
      </w:pPr>
      <w:r>
        <w:rPr>
          <w:rFonts w:ascii="Arial" w:cs="Arial" w:eastAsia="Arial" w:hAnsi="Arial"/>
          <w:sz w:val="17"/>
          <w:szCs w:val="17"/>
          <w:b w:val="1"/>
          <w:bCs w:val="1"/>
          <w:color w:val="auto"/>
        </w:rPr>
        <w:t>Table 1: Newly Registered and Carry Forward Securities</w:t>
      </w:r>
      <w:r>
        <w:rPr>
          <w:sz w:val="20"/>
          <w:szCs w:val="20"/>
          <w:color w:val="auto"/>
        </w:rPr>
        <w:tab/>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52070</wp:posOffset>
            </wp:positionV>
            <wp:extent cx="7213600" cy="5613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213600" cy="5613400"/>
                    </a:xfrm>
                    <a:prstGeom prst="rect">
                      <a:avLst/>
                    </a:prstGeom>
                    <a:noFill/>
                  </pic:spPr>
                </pic:pic>
              </a:graphicData>
            </a:graphic>
          </wp:anchor>
        </w:drawing>
      </w:r>
    </w:p>
    <w:p>
      <w:pPr>
        <w:sectPr>
          <w:pgSz w:w="11900" w:h="16888" w:orient="portrait"/>
          <w:cols w:equalWidth="0" w:num="1">
            <w:col w:w="11283"/>
          </w:cols>
          <w:pgMar w:left="337" w:top="142" w:right="279" w:bottom="0" w:gutter="0" w:footer="0" w:header="0"/>
        </w:sectPr>
      </w:pPr>
    </w:p>
    <w:p>
      <w:pPr>
        <w:spacing w:after="0" w:line="119" w:lineRule="exact"/>
        <w:rPr>
          <w:sz w:val="20"/>
          <w:szCs w:val="20"/>
          <w:color w:val="auto"/>
        </w:rPr>
      </w:pPr>
    </w:p>
    <w:tbl>
      <w:tblPr>
        <w:tblLayout w:type="fixed"/>
        <w:tblInd w:w="3" w:type="dxa"/>
        <w:tblCellMar>
          <w:top w:w="0" w:type="dxa"/>
          <w:left w:w="0" w:type="dxa"/>
          <w:bottom w:w="0" w:type="dxa"/>
          <w:right w:w="0" w:type="dxa"/>
        </w:tblCellMar>
      </w:tblPr>
      <w:tr>
        <w:trPr>
          <w:trHeight w:val="660"/>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shd w:val="clear" w:color="auto" w:fill="9ADAF6"/>
          </w:tcPr>
          <w:p>
            <w:pPr>
              <w:jc w:val="center"/>
              <w:ind w:left="35"/>
              <w:spacing w:after="0"/>
              <w:rPr>
                <w:sz w:val="20"/>
                <w:szCs w:val="20"/>
                <w:color w:val="auto"/>
              </w:rPr>
            </w:pPr>
            <w:r>
              <w:rPr>
                <w:rFonts w:ascii="Arial" w:cs="Arial" w:eastAsia="Arial" w:hAnsi="Arial"/>
                <w:sz w:val="17"/>
                <w:szCs w:val="17"/>
                <w:b w:val="1"/>
                <w:bCs w:val="1"/>
                <w:color w:val="auto"/>
                <w:w w:val="95"/>
              </w:rPr>
              <w:t>Fee</w:t>
            </w: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0" w:type="dxa"/>
            <w:vAlign w:val="bottom"/>
          </w:tcPr>
          <w:p>
            <w:pPr>
              <w:spacing w:after="0"/>
              <w:rPr>
                <w:sz w:val="1"/>
                <w:szCs w:val="1"/>
                <w:color w:val="auto"/>
              </w:rPr>
            </w:pPr>
          </w:p>
        </w:tc>
      </w:tr>
      <w:tr>
        <w:trPr>
          <w:trHeight w:val="170"/>
        </w:trPr>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right"/>
              <w:ind w:right="15"/>
              <w:spacing w:after="0" w:line="170"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ind w:left="140"/>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840" w:type="dxa"/>
            <w:vAlign w:val="bottom"/>
            <w:shd w:val="clear" w:color="auto" w:fill="9ADAF6"/>
          </w:tcPr>
          <w:p>
            <w:pPr>
              <w:jc w:val="center"/>
              <w:ind w:left="15"/>
              <w:spacing w:after="0" w:line="192" w:lineRule="exact"/>
              <w:rPr>
                <w:sz w:val="20"/>
                <w:szCs w:val="20"/>
                <w:color w:val="auto"/>
              </w:rPr>
            </w:pPr>
            <w:r>
              <w:rPr>
                <w:rFonts w:ascii="Arial" w:cs="Arial" w:eastAsia="Arial" w:hAnsi="Arial"/>
                <w:sz w:val="17"/>
                <w:szCs w:val="17"/>
                <w:b w:val="1"/>
                <w:bCs w:val="1"/>
                <w:color w:val="auto"/>
                <w:w w:val="99"/>
              </w:rPr>
              <w:t>or Carry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ind w:right="55"/>
              <w:spacing w:after="0" w:line="192"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92"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92"/>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20" w:type="dxa"/>
            <w:vAlign w:val="bottom"/>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840" w:type="dxa"/>
            <w:vAlign w:val="bottom"/>
            <w:shd w:val="clear" w:color="auto" w:fill="9ADAF6"/>
          </w:tcPr>
          <w:p>
            <w:pPr>
              <w:jc w:val="center"/>
              <w:ind w:left="35"/>
              <w:spacing w:after="0" w:line="192" w:lineRule="exact"/>
              <w:rPr>
                <w:sz w:val="20"/>
                <w:szCs w:val="20"/>
                <w:color w:val="auto"/>
              </w:rPr>
            </w:pPr>
            <w:r>
              <w:rPr>
                <w:rFonts w:ascii="Arial" w:cs="Arial" w:eastAsia="Arial" w:hAnsi="Arial"/>
                <w:sz w:val="17"/>
                <w:szCs w:val="17"/>
                <w:b w:val="1"/>
                <w:bCs w:val="1"/>
                <w:color w:val="auto"/>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92"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275"/>
              <w:spacing w:after="0" w:line="192"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File</w:t>
            </w:r>
          </w:p>
        </w:tc>
        <w:tc>
          <w:tcPr>
            <w:tcW w:w="0" w:type="dxa"/>
            <w:vAlign w:val="bottom"/>
          </w:tcPr>
          <w:p>
            <w:pPr>
              <w:spacing w:after="0"/>
              <w:rPr>
                <w:sz w:val="1"/>
                <w:szCs w:val="1"/>
                <w:color w:val="auto"/>
              </w:rPr>
            </w:pPr>
          </w:p>
        </w:tc>
      </w:tr>
      <w:tr>
        <w:trPr>
          <w:trHeight w:val="192"/>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ind w:left="35"/>
              <w:spacing w:after="0"/>
              <w:rPr>
                <w:sz w:val="20"/>
                <w:szCs w:val="20"/>
                <w:color w:val="auto"/>
              </w:rPr>
            </w:pPr>
            <w:r>
              <w:rPr>
                <w:rFonts w:ascii="Arial" w:cs="Arial" w:eastAsia="Arial" w:hAnsi="Arial"/>
                <w:sz w:val="17"/>
                <w:szCs w:val="17"/>
                <w:b w:val="1"/>
                <w:bCs w:val="1"/>
                <w:color w:val="auto"/>
                <w:w w:val="97"/>
              </w:rPr>
              <w:t>Rule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Number</w:t>
            </w:r>
          </w:p>
        </w:tc>
        <w:tc>
          <w:tcPr>
            <w:tcW w:w="0" w:type="dxa"/>
            <w:vAlign w:val="bottom"/>
          </w:tcPr>
          <w:p>
            <w:pPr>
              <w:spacing w:after="0"/>
              <w:rPr>
                <w:sz w:val="1"/>
                <w:szCs w:val="1"/>
                <w:color w:val="auto"/>
              </w:rPr>
            </w:pPr>
          </w:p>
        </w:tc>
      </w:tr>
      <w:tr>
        <w:trPr>
          <w:trHeight w:val="62"/>
        </w:trPr>
        <w:tc>
          <w:tcPr>
            <w:tcW w:w="8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9ADAF6"/>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70"/>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20" w:type="dxa"/>
            <w:vAlign w:val="bottom"/>
            <w:gridSpan w:val="8"/>
          </w:tcPr>
          <w:p>
            <w:pPr>
              <w:jc w:val="right"/>
              <w:ind w:right="1255"/>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2"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ind w:left="35"/>
              <w:spacing w:after="0" w:line="192" w:lineRule="exact"/>
              <w:rPr>
                <w:sz w:val="20"/>
                <w:szCs w:val="20"/>
                <w:color w:val="auto"/>
              </w:rPr>
            </w:pPr>
            <w:r>
              <w:rPr>
                <w:rFonts w:ascii="Arial" w:cs="Arial" w:eastAsia="Arial" w:hAnsi="Arial"/>
                <w:sz w:val="17"/>
                <w:szCs w:val="17"/>
                <w:color w:val="auto"/>
                <w:w w:val="96"/>
              </w:rPr>
              <w:t>457(r)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6"/>
              </w:rPr>
              <w:t>of NXP B.V.</w:t>
            </w: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2"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of NXP</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ind w:left="35"/>
              <w:spacing w:after="0" w:line="192" w:lineRule="exact"/>
              <w:rPr>
                <w:sz w:val="20"/>
                <w:szCs w:val="20"/>
                <w:color w:val="auto"/>
              </w:rPr>
            </w:pPr>
            <w:r>
              <w:rPr>
                <w:rFonts w:ascii="Arial" w:cs="Arial" w:eastAsia="Arial" w:hAnsi="Arial"/>
                <w:sz w:val="17"/>
                <w:szCs w:val="17"/>
                <w:color w:val="auto"/>
                <w:w w:val="96"/>
              </w:rPr>
              <w:t>457(r)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Funding,</w:t>
            </w: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LLC</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35"/>
              <w:spacing w:after="0"/>
              <w:rPr>
                <w:sz w:val="20"/>
                <w:szCs w:val="20"/>
                <w:color w:val="auto"/>
              </w:rPr>
            </w:pPr>
            <w:r>
              <w:rPr>
                <w:rFonts w:ascii="Arial" w:cs="Arial" w:eastAsia="Arial" w:hAnsi="Arial"/>
                <w:sz w:val="17"/>
                <w:szCs w:val="17"/>
                <w:color w:val="auto"/>
                <w:w w:val="96"/>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shd w:val="clear" w:color="auto" w:fill="E7E7E2"/>
          </w:tcPr>
          <w:p>
            <w:pPr>
              <w:spacing w:after="0" w:line="192"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of NXP</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USA, Inc.</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w w:val="99"/>
              </w:rPr>
              <w:t>Guarantees</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of Debt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of NXP</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2"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Other</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B.V., NXP</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ind w:left="35"/>
              <w:spacing w:after="0" w:line="192" w:lineRule="exact"/>
              <w:rPr>
                <w:sz w:val="20"/>
                <w:szCs w:val="20"/>
                <w:color w:val="auto"/>
              </w:rPr>
            </w:pPr>
            <w:r>
              <w:rPr>
                <w:rFonts w:ascii="Arial" w:cs="Arial" w:eastAsia="Arial" w:hAnsi="Arial"/>
                <w:sz w:val="17"/>
                <w:szCs w:val="17"/>
                <w:color w:val="auto"/>
                <w:w w:val="96"/>
              </w:rPr>
              <w:t>457(r)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Funding</w:t>
            </w: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LLC and</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NXP USA,</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Inc.</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0" w:type="dxa"/>
            <w:vAlign w:val="bottom"/>
            <w:gridSpan w:val="7"/>
          </w:tcPr>
          <w:p>
            <w:pPr>
              <w:jc w:val="right"/>
              <w:ind w:right="1375"/>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Filing Fee</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Previously</w:t>
      </w:r>
    </w:p>
    <w:p>
      <w:pPr>
        <w:ind w:left="20" w:firstLine="113"/>
        <w:spacing w:after="0" w:line="222"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ind w:right="180" w:firstLine="133"/>
        <w:spacing w:after="0" w:line="181"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2"/>
          <w:szCs w:val="22"/>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2"/>
          <w:szCs w:val="22"/>
          <w:b w:val="1"/>
          <w:bCs w:val="1"/>
          <w:color w:val="auto"/>
          <w:vertAlign w:val="superscript"/>
        </w:rPr>
        <w:t>Unsold</w:t>
      </w:r>
    </w:p>
    <w:p>
      <w:pPr>
        <w:spacing w:after="0" w:line="1" w:lineRule="exact"/>
        <w:rPr>
          <w:sz w:val="20"/>
          <w:szCs w:val="20"/>
          <w:color w:val="auto"/>
        </w:rPr>
      </w:pPr>
    </w:p>
    <w:p>
      <w:pPr>
        <w:ind w:left="820" w:right="60" w:hanging="847"/>
        <w:spacing w:after="0" w:line="249" w:lineRule="auto"/>
        <w:tabs>
          <w:tab w:leader="none" w:pos="800" w:val="left"/>
        </w:tabs>
        <w:rPr>
          <w:sz w:val="20"/>
          <w:szCs w:val="20"/>
          <w:color w:val="auto"/>
        </w:rPr>
      </w:pPr>
      <w:r>
        <w:rPr>
          <w:rFonts w:ascii="Arial" w:cs="Arial" w:eastAsia="Arial" w:hAnsi="Arial"/>
          <w:sz w:val="34"/>
          <w:szCs w:val="34"/>
          <w:b w:val="1"/>
          <w:bCs w:val="1"/>
          <w:color w:val="auto"/>
          <w:vertAlign w:val="subscript"/>
        </w:rPr>
        <w:t>Date</w:t>
      </w:r>
      <w:r>
        <w:rPr>
          <w:sz w:val="20"/>
          <w:szCs w:val="20"/>
          <w:color w:val="auto"/>
        </w:rPr>
        <w:tab/>
      </w:r>
      <w:r>
        <w:rPr>
          <w:rFonts w:ascii="Arial" w:cs="Arial" w:eastAsia="Arial" w:hAnsi="Arial"/>
          <w:sz w:val="16"/>
          <w:szCs w:val="16"/>
          <w:b w:val="1"/>
          <w:bCs w:val="1"/>
          <w:color w:val="auto"/>
        </w:rPr>
        <w:t>Securities to be</w:t>
      </w:r>
    </w:p>
    <w:p>
      <w:pPr>
        <w:ind w:left="920"/>
        <w:spacing w:after="0" w:line="236"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Forward</w:t>
      </w:r>
    </w:p>
    <w:p>
      <w:pPr>
        <w:spacing w:after="0" w:line="7043" w:lineRule="exact"/>
        <w:rPr>
          <w:sz w:val="20"/>
          <w:szCs w:val="20"/>
          <w:color w:val="auto"/>
        </w:rPr>
      </w:pPr>
    </w:p>
    <w:p>
      <w:pPr>
        <w:sectPr>
          <w:pgSz w:w="11900" w:h="16888" w:orient="portrait"/>
          <w:cols w:equalWidth="0" w:num="2">
            <w:col w:w="9563" w:space="40"/>
            <w:col w:w="1680"/>
          </w:cols>
          <w:pgMar w:left="337" w:top="142" w:right="279" w:bottom="0" w:gutter="0" w:footer="0" w:header="0"/>
          <w:type w:val="continuous"/>
        </w:sectPr>
      </w:pPr>
    </w:p>
    <w:p>
      <w:pPr>
        <w:spacing w:after="0" w:line="55"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Offering Note</w:t>
      </w:r>
    </w:p>
    <w:p>
      <w:pPr>
        <w:spacing w:after="0" w:line="113" w:lineRule="exact"/>
        <w:rPr>
          <w:sz w:val="20"/>
          <w:szCs w:val="20"/>
          <w:color w:val="auto"/>
        </w:rPr>
      </w:pPr>
    </w:p>
    <w:p>
      <w:pPr>
        <w:ind w:left="183" w:right="160" w:hanging="183"/>
        <w:spacing w:after="0" w:line="232" w:lineRule="auto"/>
        <w:tabs>
          <w:tab w:leader="none" w:pos="183" w:val="left"/>
        </w:tabs>
        <w:numPr>
          <w:ilvl w:val="0"/>
          <w:numId w:val="67"/>
        </w:numPr>
        <w:rPr>
          <w:rFonts w:ascii="Arial" w:cs="Arial" w:eastAsia="Arial" w:hAnsi="Arial"/>
          <w:sz w:val="21"/>
          <w:szCs w:val="21"/>
          <w:color w:val="auto"/>
          <w:vertAlign w:val="superscript"/>
        </w:rPr>
      </w:pPr>
      <w:r>
        <w:rPr>
          <w:rFonts w:ascii="Arial" w:cs="Arial" w:eastAsia="Arial" w:hAnsi="Arial"/>
          <w:sz w:val="17"/>
          <w:szCs w:val="17"/>
          <w:color w:val="auto"/>
        </w:rPr>
        <w:t>(1) An indeterminate aggregate initial offering price or number of the securities of each identified class is being Registered as may from time to time be offered at indeterminate prices and as may from time to time be issued upon conversion, redemption, exchange, exercise or settlement of other securities registered hereunder, including under any applicable anti-dilution provision. Separate consideration may or may not be received for securities that are issuable on exercise, conversion or exchange of other securities. (2) In accordance with Rules 456(b) and 457(r) of the Securities Act of 1933, as amended, the registrant is deferring payment of all of the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4629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25" w:lineRule="exact"/>
        <w:rPr>
          <w:sz w:val="20"/>
          <w:szCs w:val="20"/>
          <w:color w:val="auto"/>
        </w:rPr>
      </w:pPr>
    </w:p>
    <w:p>
      <w:pPr>
        <w:ind w:left="183" w:right="160" w:hanging="183"/>
        <w:spacing w:after="0" w:line="232" w:lineRule="auto"/>
        <w:tabs>
          <w:tab w:leader="none" w:pos="183" w:val="left"/>
        </w:tabs>
        <w:numPr>
          <w:ilvl w:val="0"/>
          <w:numId w:val="68"/>
        </w:numPr>
        <w:rPr>
          <w:rFonts w:ascii="Arial" w:cs="Arial" w:eastAsia="Arial" w:hAnsi="Arial"/>
          <w:sz w:val="21"/>
          <w:szCs w:val="21"/>
          <w:color w:val="auto"/>
          <w:vertAlign w:val="superscript"/>
        </w:rPr>
      </w:pPr>
      <w:r>
        <w:rPr>
          <w:rFonts w:ascii="Arial" w:cs="Arial" w:eastAsia="Arial" w:hAnsi="Arial"/>
          <w:sz w:val="17"/>
          <w:szCs w:val="17"/>
          <w:color w:val="auto"/>
        </w:rPr>
        <w:t>(1) An indeterminate aggregate initial offering price or number of the securities of each identified class is being Registered as may from time to time be offered at indeterminate prices and as may from time to time be issued upon conversion, redemption, exchange, exercise or settlement of other securities registered hereunder, including under any applicable anti-dilution provision. Separate consideration may or may not be received for securities that are issuable on exercise, conversion or exchange of other securities. (2) In accordance with Rules 456(b) and 457(r) of the Securities Act of 1933, as amended, the registrant is deferring payment of all of the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4629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25" w:lineRule="exact"/>
        <w:rPr>
          <w:sz w:val="20"/>
          <w:szCs w:val="20"/>
          <w:color w:val="auto"/>
        </w:rPr>
      </w:pPr>
    </w:p>
    <w:p>
      <w:pPr>
        <w:ind w:left="183" w:right="160" w:hanging="183"/>
        <w:spacing w:after="0" w:line="232" w:lineRule="auto"/>
        <w:tabs>
          <w:tab w:leader="none" w:pos="183" w:val="left"/>
        </w:tabs>
        <w:numPr>
          <w:ilvl w:val="0"/>
          <w:numId w:val="69"/>
        </w:numPr>
        <w:rPr>
          <w:rFonts w:ascii="Arial" w:cs="Arial" w:eastAsia="Arial" w:hAnsi="Arial"/>
          <w:sz w:val="21"/>
          <w:szCs w:val="21"/>
          <w:color w:val="auto"/>
          <w:vertAlign w:val="superscript"/>
        </w:rPr>
      </w:pPr>
      <w:r>
        <w:rPr>
          <w:rFonts w:ascii="Arial" w:cs="Arial" w:eastAsia="Arial" w:hAnsi="Arial"/>
          <w:sz w:val="17"/>
          <w:szCs w:val="17"/>
          <w:color w:val="auto"/>
        </w:rPr>
        <w:t>(1) An indeterminate aggregate initial offering price or number of the securities of each identified class is being Registered as may from time to time be offered at indeterminate prices and as may from time to time be issued upon conversion, redemption, exchange, exercise or settlement of other securities registered hereunder, including under any applicable anti-dilution provision. Separate consideration may or may not be received for securities that are issuable on exercise, conversion or exchange of other securities. (2) In accordance with Rules 456(b) and 457(r) of the Securities Act of 1933, as amended, the registrant is deferring payment of all of the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4629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25" w:lineRule="exact"/>
        <w:rPr>
          <w:sz w:val="20"/>
          <w:szCs w:val="20"/>
          <w:color w:val="auto"/>
        </w:rPr>
      </w:pPr>
    </w:p>
    <w:p>
      <w:pPr>
        <w:ind w:left="183" w:right="160" w:hanging="183"/>
        <w:spacing w:after="0" w:line="232" w:lineRule="auto"/>
        <w:tabs>
          <w:tab w:leader="none" w:pos="183" w:val="left"/>
        </w:tabs>
        <w:numPr>
          <w:ilvl w:val="0"/>
          <w:numId w:val="70"/>
        </w:numPr>
        <w:rPr>
          <w:rFonts w:ascii="Arial" w:cs="Arial" w:eastAsia="Arial" w:hAnsi="Arial"/>
          <w:sz w:val="21"/>
          <w:szCs w:val="21"/>
          <w:color w:val="auto"/>
          <w:vertAlign w:val="superscript"/>
        </w:rPr>
      </w:pPr>
      <w:r>
        <w:rPr>
          <w:rFonts w:ascii="Arial" w:cs="Arial" w:eastAsia="Arial" w:hAnsi="Arial"/>
          <w:sz w:val="17"/>
          <w:szCs w:val="17"/>
          <w:color w:val="auto"/>
        </w:rPr>
        <w:t>(1) An indeterminate aggregate initial offering price or number of the securities of each identified class is being Registered as may from time to time be offered at indeterminate prices and as may from time to time be issued upon conversion, redemption, exchange, exercise or settlement of other securities registered hereunder, including under any applicable anti-dilution provision. Separate consideration may or may not be received for securities that are issuable on exercise, conversion or exchange of other securities. (2) In accordance with Rules 456(b) and 457(r) of the Securities Act of 1933, as amended, the registrant is deferring payment of all of the registration fees. (3) Pursuant to Rule 457(n), no separate registration fee will be paid in respect of any such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4629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ectPr>
          <w:pgSz w:w="11900" w:h="16888" w:orient="portrait"/>
          <w:cols w:equalWidth="0" w:num="1">
            <w:col w:w="11283"/>
          </w:cols>
          <w:pgMar w:left="337" w:top="142" w:right="279" w:bottom="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Table 2: Fee Offset Claims and Sources</w:t>
      </w:r>
    </w:p>
    <w:p>
      <w:pPr>
        <w:sectPr>
          <w:pgSz w:w="11900" w:h="16888" w:orient="portrait"/>
          <w:cols w:equalWidth="0" w:num="1">
            <w:col w:w="11283"/>
          </w:cols>
          <w:pgMar w:left="337" w:top="142" w:right="279" w:bottom="0" w:gutter="0" w:footer="0" w:header="0"/>
          <w:type w:val="continuous"/>
        </w:sectPr>
      </w:pPr>
    </w:p>
    <w:bookmarkStart w:id="70" w:name="page71"/>
    <w:bookmarkEnd w:id="70"/>
    <w:p>
      <w:pPr>
        <w:ind w:left="992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40" w:type="dxa"/>
            <w:vAlign w:val="bottom"/>
            <w:tcBorders>
              <w:left w:val="single" w:sz="8" w:color="auto"/>
            </w:tcBorders>
          </w:tcPr>
          <w:p>
            <w:pPr>
              <w:spacing w:after="0"/>
              <w:rPr>
                <w:sz w:val="13"/>
                <w:szCs w:val="13"/>
                <w:color w:val="auto"/>
              </w:rPr>
            </w:pPr>
          </w:p>
        </w:tc>
        <w:tc>
          <w:tcPr>
            <w:tcW w:w="440" w:type="dxa"/>
            <w:vAlign w:val="bottom"/>
            <w:shd w:val="clear" w:color="auto" w:fill="9ADAF6"/>
          </w:tcPr>
          <w:p>
            <w:pPr>
              <w:spacing w:after="0"/>
              <w:rPr>
                <w:sz w:val="13"/>
                <w:szCs w:val="13"/>
                <w:color w:val="auto"/>
              </w:rPr>
            </w:pPr>
          </w:p>
        </w:tc>
        <w:tc>
          <w:tcPr>
            <w:tcW w:w="20" w:type="dxa"/>
            <w:vAlign w:val="bottom"/>
            <w:shd w:val="clear" w:color="auto" w:fill="9ADAF6"/>
          </w:tcPr>
          <w:p>
            <w:pPr>
              <w:spacing w:after="0"/>
              <w:rPr>
                <w:sz w:val="13"/>
                <w:szCs w:val="13"/>
                <w:color w:val="auto"/>
              </w:rPr>
            </w:pPr>
          </w:p>
        </w:tc>
        <w:tc>
          <w:tcPr>
            <w:tcW w:w="5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shd w:val="clear" w:color="auto" w:fill="9ADAF6"/>
          </w:tcPr>
          <w:p>
            <w:pPr>
              <w:spacing w:after="0"/>
              <w:rPr>
                <w:sz w:val="13"/>
                <w:szCs w:val="13"/>
                <w:color w:val="auto"/>
              </w:rPr>
            </w:pPr>
          </w:p>
        </w:tc>
        <w:tc>
          <w:tcPr>
            <w:tcW w:w="40" w:type="dxa"/>
            <w:vAlign w:val="bottom"/>
            <w:tcBorders>
              <w:right w:val="single" w:sz="8" w:color="9ADAF6"/>
            </w:tcBorders>
            <w:shd w:val="clear" w:color="auto" w:fill="9ADAF6"/>
          </w:tcPr>
          <w:p>
            <w:pPr>
              <w:spacing w:after="0"/>
              <w:rPr>
                <w:sz w:val="13"/>
                <w:szCs w:val="13"/>
                <w:color w:val="auto"/>
              </w:rPr>
            </w:pPr>
          </w:p>
        </w:tc>
        <w:tc>
          <w:tcPr>
            <w:tcW w:w="12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shd w:val="clear" w:color="auto" w:fill="9ADAF6"/>
          </w:tcPr>
          <w:p>
            <w:pPr>
              <w:spacing w:after="0"/>
              <w:rPr>
                <w:sz w:val="13"/>
                <w:szCs w:val="13"/>
                <w:color w:val="auto"/>
              </w:rPr>
            </w:pPr>
          </w:p>
        </w:tc>
        <w:tc>
          <w:tcPr>
            <w:tcW w:w="20" w:type="dxa"/>
            <w:vAlign w:val="bottom"/>
            <w:shd w:val="clear" w:color="auto" w:fill="9ADAF6"/>
          </w:tcPr>
          <w:p>
            <w:pPr>
              <w:spacing w:after="0"/>
              <w:rPr>
                <w:sz w:val="13"/>
                <w:szCs w:val="13"/>
                <w:color w:val="auto"/>
              </w:rPr>
            </w:pPr>
          </w:p>
        </w:tc>
        <w:tc>
          <w:tcPr>
            <w:tcW w:w="380" w:type="dxa"/>
            <w:vAlign w:val="bottom"/>
            <w:shd w:val="clear" w:color="auto" w:fill="9ADAF6"/>
          </w:tcPr>
          <w:p>
            <w:pPr>
              <w:spacing w:after="0"/>
              <w:rPr>
                <w:sz w:val="13"/>
                <w:szCs w:val="13"/>
                <w:color w:val="auto"/>
              </w:rPr>
            </w:pPr>
          </w:p>
        </w:tc>
        <w:tc>
          <w:tcPr>
            <w:tcW w:w="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shd w:val="clear" w:color="auto" w:fill="9ADAF6"/>
          </w:tcPr>
          <w:p>
            <w:pPr>
              <w:spacing w:after="0"/>
              <w:rPr>
                <w:sz w:val="13"/>
                <w:szCs w:val="13"/>
                <w:color w:val="auto"/>
              </w:rPr>
            </w:pPr>
          </w:p>
        </w:tc>
        <w:tc>
          <w:tcPr>
            <w:tcW w:w="320" w:type="dxa"/>
            <w:vAlign w:val="bottom"/>
            <w:shd w:val="clear" w:color="auto" w:fill="9ADAF6"/>
          </w:tcPr>
          <w:p>
            <w:pPr>
              <w:spacing w:after="0"/>
              <w:rPr>
                <w:sz w:val="13"/>
                <w:szCs w:val="13"/>
                <w:color w:val="auto"/>
              </w:rPr>
            </w:pPr>
          </w:p>
        </w:tc>
        <w:tc>
          <w:tcPr>
            <w:tcW w:w="20" w:type="dxa"/>
            <w:vAlign w:val="bottom"/>
            <w:shd w:val="clear" w:color="auto" w:fill="9ADAF6"/>
          </w:tcPr>
          <w:p>
            <w:pPr>
              <w:spacing w:after="0"/>
              <w:rPr>
                <w:sz w:val="13"/>
                <w:szCs w:val="13"/>
                <w:color w:val="auto"/>
              </w:rPr>
            </w:pPr>
          </w:p>
        </w:tc>
        <w:tc>
          <w:tcPr>
            <w:tcW w:w="200" w:type="dxa"/>
            <w:vAlign w:val="bottom"/>
            <w:shd w:val="clear" w:color="auto" w:fill="9ADAF6"/>
          </w:tcPr>
          <w:p>
            <w:pPr>
              <w:spacing w:after="0"/>
              <w:rPr>
                <w:sz w:val="13"/>
                <w:szCs w:val="13"/>
                <w:color w:val="auto"/>
              </w:rPr>
            </w:pPr>
          </w:p>
        </w:tc>
        <w:tc>
          <w:tcPr>
            <w:tcW w:w="40" w:type="dxa"/>
            <w:vAlign w:val="bottom"/>
            <w:tcBorders>
              <w:right w:val="single" w:sz="8" w:color="9ADAF6"/>
            </w:tcBorders>
          </w:tcPr>
          <w:p>
            <w:pPr>
              <w:spacing w:after="0"/>
              <w:rPr>
                <w:sz w:val="13"/>
                <w:szCs w:val="13"/>
                <w:color w:val="auto"/>
              </w:rPr>
            </w:pPr>
          </w:p>
        </w:tc>
        <w:tc>
          <w:tcPr>
            <w:tcW w:w="9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9ADAF6"/>
          </w:tcPr>
          <w:p>
            <w:pPr>
              <w:spacing w:after="0"/>
              <w:rPr>
                <w:sz w:val="13"/>
                <w:szCs w:val="13"/>
                <w:color w:val="auto"/>
              </w:rPr>
            </w:pPr>
          </w:p>
        </w:tc>
        <w:tc>
          <w:tcPr>
            <w:tcW w:w="20" w:type="dxa"/>
            <w:vAlign w:val="bottom"/>
            <w:shd w:val="clear" w:color="auto" w:fill="9ADAF6"/>
          </w:tcPr>
          <w:p>
            <w:pPr>
              <w:spacing w:after="0"/>
              <w:rPr>
                <w:sz w:val="13"/>
                <w:szCs w:val="13"/>
                <w:color w:val="auto"/>
              </w:rPr>
            </w:pPr>
          </w:p>
        </w:tc>
        <w:tc>
          <w:tcPr>
            <w:tcW w:w="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shd w:val="clear" w:color="auto" w:fill="9ADAF6"/>
          </w:tcPr>
          <w:p>
            <w:pPr>
              <w:spacing w:after="0"/>
              <w:rPr>
                <w:sz w:val="13"/>
                <w:szCs w:val="13"/>
                <w:color w:val="auto"/>
              </w:rPr>
            </w:pPr>
          </w:p>
        </w:tc>
        <w:tc>
          <w:tcPr>
            <w:tcW w:w="20" w:type="dxa"/>
            <w:vAlign w:val="bottom"/>
            <w:shd w:val="clear" w:color="auto" w:fill="9ADAF6"/>
          </w:tcPr>
          <w:p>
            <w:pPr>
              <w:spacing w:after="0"/>
              <w:rPr>
                <w:sz w:val="13"/>
                <w:szCs w:val="13"/>
                <w:color w:val="auto"/>
              </w:rPr>
            </w:pPr>
          </w:p>
        </w:tc>
        <w:tc>
          <w:tcPr>
            <w:tcW w:w="3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shd w:val="clear" w:color="auto" w:fill="9ADAF6"/>
          </w:tcPr>
          <w:p>
            <w:pPr>
              <w:jc w:val="center"/>
              <w:spacing w:after="0" w:line="158"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3"/>
                <w:szCs w:val="13"/>
                <w:color w:val="auto"/>
              </w:rPr>
            </w:pPr>
          </w:p>
        </w:tc>
        <w:tc>
          <w:tcPr>
            <w:tcW w:w="640" w:type="dxa"/>
            <w:vAlign w:val="bottom"/>
            <w:shd w:val="clear" w:color="auto" w:fill="9ADAF6"/>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540" w:type="dxa"/>
            <w:vAlign w:val="bottom"/>
            <w:gridSpan w:val="3"/>
            <w:vMerge w:val="restart"/>
            <w:shd w:val="clear" w:color="auto" w:fill="9ADAF6"/>
          </w:tcPr>
          <w:p>
            <w:pPr>
              <w:jc w:val="right"/>
              <w:ind w:right="115"/>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ind w:left="40"/>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shd w:val="clear" w:color="auto" w:fill="9ADAF6"/>
          </w:tcPr>
          <w:p>
            <w:pPr>
              <w:jc w:val="right"/>
              <w:ind w:right="15"/>
              <w:spacing w:after="0" w:line="170" w:lineRule="exact"/>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9ADAF6"/>
            </w:tcBorders>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1240" w:type="dxa"/>
            <w:vAlign w:val="bottom"/>
            <w:shd w:val="clear" w:color="auto" w:fill="9ADAF6"/>
          </w:tcPr>
          <w:p>
            <w:pPr>
              <w:ind w:left="240"/>
              <w:spacing w:after="0" w:line="192"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92"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40" w:type="dxa"/>
            <w:vAlign w:val="bottom"/>
            <w:tcBorders>
              <w:right w:val="single" w:sz="8" w:color="9ADAF6"/>
            </w:tcBorders>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40" w:type="dxa"/>
            <w:vAlign w:val="bottom"/>
            <w:tcBorders>
              <w:right w:val="single" w:sz="8" w:color="9ADAF6"/>
            </w:tcBorders>
          </w:tcPr>
          <w:p>
            <w:pPr>
              <w:spacing w:after="0"/>
              <w:rPr>
                <w:sz w:val="10"/>
                <w:szCs w:val="10"/>
                <w:color w:val="auto"/>
              </w:rPr>
            </w:pPr>
          </w:p>
        </w:tc>
        <w:tc>
          <w:tcPr>
            <w:tcW w:w="9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40" w:type="dxa"/>
            <w:vAlign w:val="bottom"/>
            <w:tcBorders>
              <w:right w:val="single" w:sz="8" w:color="9ADAF6"/>
            </w:tcBorders>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40" w:type="dxa"/>
            <w:vAlign w:val="bottom"/>
            <w:tcBorders>
              <w:right w:val="single" w:sz="8" w:color="9ADAF6"/>
            </w:tcBorders>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400" w:type="dxa"/>
            <w:vAlign w:val="bottom"/>
            <w:gridSpan w:val="2"/>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E7E7E2"/>
            </w:tcBorders>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400" w:type="dxa"/>
            <w:vAlign w:val="bottom"/>
            <w:gridSpan w:val="2"/>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400" w:type="dxa"/>
            <w:vAlign w:val="bottom"/>
            <w:gridSpan w:val="2"/>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E7E7E2"/>
            </w:tcBorders>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400" w:type="dxa"/>
            <w:vAlign w:val="bottom"/>
            <w:gridSpan w:val="2"/>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6"/>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400" w:type="dxa"/>
            <w:vAlign w:val="bottom"/>
            <w:gridSpan w:val="2"/>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E7E7E2"/>
            </w:tcBorders>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400" w:type="dxa"/>
            <w:vAlign w:val="bottom"/>
            <w:gridSpan w:val="2"/>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400" w:type="dxa"/>
            <w:vAlign w:val="bottom"/>
            <w:gridSpan w:val="2"/>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right w:val="single" w:sz="8" w:color="E7E7E2"/>
            </w:tcBorders>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400" w:type="dxa"/>
            <w:vAlign w:val="bottom"/>
            <w:gridSpan w:val="2"/>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6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6"/>
            <w:shd w:val="clear" w:color="auto" w:fill="9ADAF6"/>
          </w:tcPr>
          <w:p>
            <w:pPr>
              <w:jc w:val="center"/>
              <w:ind w:left="235"/>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80" w:type="dxa"/>
            <w:vAlign w:val="bottom"/>
            <w:gridSpan w:val="5"/>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57"/>
              <w:spacing w:after="0" w:line="192"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17"/>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restart"/>
            <w:shd w:val="clear" w:color="auto" w:fill="9ADAF6"/>
          </w:tcPr>
          <w:p>
            <w:pPr>
              <w:ind w:left="220"/>
              <w:spacing w:after="0" w:line="192" w:lineRule="exact"/>
              <w:rPr>
                <w:sz w:val="20"/>
                <w:szCs w:val="20"/>
                <w:color w:val="auto"/>
              </w:rPr>
            </w:pPr>
            <w:r>
              <w:rPr>
                <w:rFonts w:ascii="Arial" w:cs="Arial" w:eastAsia="Arial" w:hAnsi="Arial"/>
                <w:sz w:val="17"/>
                <w:szCs w:val="17"/>
                <w:b w:val="1"/>
                <w:bCs w:val="1"/>
                <w:color w:val="auto"/>
              </w:rPr>
              <w:t>Security Type</w:t>
            </w:r>
          </w:p>
        </w:tc>
        <w:tc>
          <w:tcPr>
            <w:tcW w:w="40" w:type="dxa"/>
            <w:vAlign w:val="bottom"/>
            <w:tcBorders>
              <w:right w:val="single" w:sz="8" w:color="9ADAF6"/>
            </w:tcBorders>
          </w:tcPr>
          <w:p>
            <w:pPr>
              <w:spacing w:after="0"/>
              <w:rPr>
                <w:sz w:val="8"/>
                <w:szCs w:val="8"/>
                <w:color w:val="auto"/>
              </w:rPr>
            </w:pPr>
          </w:p>
        </w:tc>
        <w:tc>
          <w:tcPr>
            <w:tcW w:w="2620" w:type="dxa"/>
            <w:vAlign w:val="bottom"/>
            <w:gridSpan w:val="5"/>
            <w:vMerge w:val="restart"/>
            <w:shd w:val="clear" w:color="auto" w:fill="9ADAF6"/>
          </w:tcPr>
          <w:p>
            <w:pPr>
              <w:ind w:left="600"/>
              <w:spacing w:after="0" w:line="192"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8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92"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2"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continue"/>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262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6"/>
            <w:vMerge w:val="restart"/>
            <w:shd w:val="clear" w:color="auto" w:fill="9ADAF6"/>
          </w:tcPr>
          <w:p>
            <w:pPr>
              <w:jc w:val="center"/>
              <w:ind w:left="235"/>
              <w:spacing w:after="0" w:line="192"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17"/>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6"/>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40" w:type="dxa"/>
            <w:vAlign w:val="bottom"/>
            <w:tcBorders>
              <w:right w:val="single" w:sz="8" w:color="9ADAF6"/>
            </w:tcBorders>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6"/>
            <w:vMerge w:val="restart"/>
            <w:shd w:val="clear" w:color="auto" w:fill="9ADAF6"/>
          </w:tcPr>
          <w:p>
            <w:pPr>
              <w:jc w:val="center"/>
              <w:ind w:left="255"/>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7"/>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40" w:type="dxa"/>
            <w:vAlign w:val="bottom"/>
            <w:tcBorders>
              <w:right w:val="single" w:sz="8" w:color="9ADAF6"/>
            </w:tcBorders>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6"/>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124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40" w:type="dxa"/>
            <w:vAlign w:val="bottom"/>
            <w:tcBorders>
              <w:right w:val="single" w:sz="8" w:color="E7E7E2"/>
            </w:tcBorders>
            <w:gridSpan w:val="2"/>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40" w:type="dxa"/>
            <w:vAlign w:val="bottom"/>
            <w:shd w:val="clear" w:color="auto" w:fill="E7E7E2"/>
          </w:tcPr>
          <w:p>
            <w:pPr>
              <w:ind w:left="5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jc w:val="center"/>
              <w:ind w:right="17"/>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107"/>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decimal"/>
      <w:start w:val="1"/>
    </w:lvl>
    <w:lvl w:ilvl="1">
      <w:lvlJc w:val="left"/>
      <w:lvlText w:val="(%2)"/>
      <w:numFmt w:val="lowerRoman"/>
      <w:start w:val="1"/>
    </w:lvl>
  </w:abstractNum>
  <w:abstractNum w:abstractNumId="14">
    <w:nsid w:val="6A2342EC"/>
    <w:multiLevelType w:val="hybridMultilevel"/>
    <w:lvl w:ilvl="0">
      <w:lvlJc w:val="left"/>
      <w:lvlText w:val="%1"/>
      <w:numFmt w:val="decimal"/>
      <w:start w:val="1"/>
    </w:lvl>
    <w:lvl w:ilvl="1">
      <w:lvlJc w:val="left"/>
      <w:lvlText w:val="(%2)"/>
      <w:numFmt w:val="lowerRoman"/>
      <w:start w:val="2"/>
    </w:lvl>
  </w:abstractNum>
  <w:abstractNum w:abstractNumId="15">
    <w:nsid w:val="2A487CB0"/>
    <w:multiLevelType w:val="hybridMultilevel"/>
    <w:lvl w:ilvl="0">
      <w:lvlJc w:val="left"/>
      <w:lvlText w:val="(%1)"/>
      <w:numFmt w:val="decimal"/>
      <w:start w:val="5"/>
    </w:lvl>
    <w:lvl w:ilvl="1">
      <w:lvlJc w:val="left"/>
      <w:lvlText w:val="(%2)"/>
      <w:numFmt w:val="lowerRoman"/>
      <w:start w:val="1"/>
    </w:lvl>
  </w:abstractNum>
  <w:abstractNum w:abstractNumId="16">
    <w:nsid w:val="1D4ED43B"/>
    <w:multiLevelType w:val="hybridMultilevel"/>
    <w:lvl w:ilvl="0">
      <w:lvlJc w:val="left"/>
      <w:lvlText w:val="(%1)"/>
      <w:numFmt w:val="lowerRoman"/>
      <w:start w:val="3"/>
    </w:lvl>
  </w:abstractNum>
  <w:abstractNum w:abstractNumId="17">
    <w:nsid w:val="725A06FB"/>
    <w:multiLevelType w:val="hybridMultilevel"/>
    <w:lvl w:ilvl="0">
      <w:lvlJc w:val="left"/>
      <w:lvlText w:val="E"/>
      <w:numFmt w:val="bullet"/>
      <w:start w:val="1"/>
    </w:lvl>
  </w:abstractNum>
  <w:abstractNum w:abstractNumId="18">
    <w:nsid w:val="2CD89A32"/>
    <w:multiLevelType w:val="hybridMultilevel"/>
    <w:lvl w:ilvl="0">
      <w:lvlJc w:val="left"/>
      <w:lvlText w:val="1"/>
      <w:numFmt w:val="bullet"/>
      <w:start w:val="1"/>
    </w:lvl>
  </w:abstractNum>
  <w:abstractNum w:abstractNumId="19">
    <w:nsid w:val="57E4CCAF"/>
    <w:multiLevelType w:val="hybridMultilevel"/>
    <w:lvl w:ilvl="0">
      <w:lvlJc w:val="left"/>
      <w:lvlText w:val="2"/>
      <w:numFmt w:val="bullet"/>
      <w:start w:val="1"/>
    </w:lvl>
    <w:lvl w:ilvl="1">
      <w:lvlJc w:val="left"/>
      <w:lvlText w:val="(%2)"/>
      <w:numFmt w:val="lowerLetter"/>
      <w:start w:val="1"/>
    </w:lvl>
    <w:lvl w:ilvl="2">
      <w:lvlJc w:val="left"/>
      <w:lvlText w:val="(%3)"/>
      <w:numFmt w:val="lowerLetter"/>
      <w:start w:val="9"/>
    </w:lvl>
  </w:abstractNum>
  <w:abstractNum w:abstractNumId="20">
    <w:nsid w:val="7A6D8D3C"/>
    <w:multiLevelType w:val="hybridMultilevel"/>
    <w:lvl w:ilvl="0">
      <w:lvlJc w:val="left"/>
      <w:lvlText w:val="(%1)"/>
      <w:numFmt w:val="lowerRoman"/>
      <w:start w:val="2"/>
    </w:lvl>
  </w:abstractNum>
  <w:abstractNum w:abstractNumId="21">
    <w:nsid w:val="4B588F54"/>
    <w:multiLevelType w:val="hybridMultilevel"/>
    <w:lvl w:ilvl="0">
      <w:lvlJc w:val="left"/>
      <w:lvlText w:val="3"/>
      <w:numFmt w:val="bullet"/>
      <w:start w:val="1"/>
    </w:lvl>
    <w:lvl w:ilvl="1">
      <w:lvlJc w:val="left"/>
      <w:lvlText w:val="(%2)"/>
      <w:numFmt w:val="lowerLetter"/>
      <w:start w:val="1"/>
    </w:lvl>
    <w:lvl w:ilvl="2">
      <w:lvlJc w:val="left"/>
      <w:lvlText w:val="(%3)"/>
      <w:numFmt w:val="lowerRoman"/>
      <w:start w:val="1"/>
    </w:lvl>
  </w:abstractNum>
  <w:abstractNum w:abstractNumId="22">
    <w:nsid w:val="542289EC"/>
    <w:multiLevelType w:val="hybridMultilevel"/>
    <w:lvl w:ilvl="0">
      <w:lvlJc w:val="left"/>
      <w:lvlText w:val="(%1)"/>
      <w:numFmt w:val="lowerRoman"/>
      <w:start w:val="2"/>
    </w:lvl>
  </w:abstractNum>
  <w:abstractNum w:abstractNumId="23">
    <w:nsid w:val="6DE91B18"/>
    <w:multiLevelType w:val="hybridMultilevel"/>
    <w:lvl w:ilvl="0">
      <w:lvlJc w:val="left"/>
      <w:lvlText w:val="(%1)"/>
      <w:numFmt w:val="lowerLetter"/>
      <w:start w:val="4"/>
    </w:lvl>
  </w:abstractNum>
  <w:abstractNum w:abstractNumId="24">
    <w:nsid w:val="38437FDB"/>
    <w:multiLevelType w:val="hybridMultilevel"/>
    <w:lvl w:ilvl="0">
      <w:lvlJc w:val="left"/>
      <w:lvlText w:val="4"/>
      <w:numFmt w:val="bullet"/>
      <w:start w:val="1"/>
    </w:lvl>
    <w:lvl w:ilvl="1">
      <w:lvlJc w:val="left"/>
      <w:lvlText w:val="(%2)"/>
      <w:numFmt w:val="lowerLetter"/>
      <w:start w:val="1"/>
    </w:lvl>
    <w:lvl w:ilvl="2">
      <w:lvlJc w:val="left"/>
      <w:lvlText w:val="(%3)"/>
      <w:numFmt w:val="lowerRoman"/>
      <w:start w:val="1"/>
    </w:lvl>
  </w:abstractNum>
  <w:abstractNum w:abstractNumId="25">
    <w:nsid w:val="7644A45C"/>
    <w:multiLevelType w:val="hybridMultilevel"/>
    <w:lvl w:ilvl="0">
      <w:lvlJc w:val="left"/>
      <w:lvlText w:val="(%1)"/>
      <w:numFmt w:val="lowerRoman"/>
      <w:start w:val="1"/>
    </w:lvl>
  </w:abstractNum>
  <w:abstractNum w:abstractNumId="26">
    <w:nsid w:val="32FFF902"/>
    <w:multiLevelType w:val="hybridMultilevel"/>
    <w:lvl w:ilvl="0">
      <w:lvlJc w:val="left"/>
      <w:lvlText w:val="%1"/>
      <w:numFmt w:val="lowerLetter"/>
      <w:start w:val="1"/>
    </w:lvl>
    <w:lvl w:ilvl="1">
      <w:lvlJc w:val="left"/>
      <w:lvlText w:val="(%2)"/>
      <w:numFmt w:val="lowerRoman"/>
      <w:start w:val="1"/>
    </w:lvl>
  </w:abstractNum>
  <w:abstractNum w:abstractNumId="27">
    <w:nsid w:val="684A481A"/>
    <w:multiLevelType w:val="hybridMultilevel"/>
    <w:lvl w:ilvl="0">
      <w:lvlJc w:val="left"/>
      <w:lvlText w:val="(%1)"/>
      <w:numFmt w:val="lowerLetter"/>
      <w:start w:val="6"/>
    </w:lvl>
    <w:lvl w:ilvl="1">
      <w:lvlJc w:val="left"/>
      <w:lvlText w:val="%2"/>
      <w:numFmt w:val="lowerRoman"/>
      <w:start w:val="1"/>
    </w:lvl>
  </w:abstractNum>
  <w:abstractNum w:abstractNumId="28">
    <w:nsid w:val="579478FE"/>
    <w:multiLevelType w:val="hybridMultilevel"/>
    <w:lvl w:ilvl="0">
      <w:lvlJc w:val="left"/>
      <w:lvlText w:val="5"/>
      <w:numFmt w:val="bullet"/>
      <w:start w:val="1"/>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lowerLetter"/>
      <w:start w:val="1"/>
    </w:lvl>
    <w:lvl w:ilvl="1">
      <w:lvlJc w:val="left"/>
      <w:lvlText w:val="(%2)"/>
      <w:numFmt w:val="lowerRoman"/>
      <w:start w:val="1"/>
    </w:lvl>
  </w:abstractNum>
  <w:abstractNum w:abstractNumId="31">
    <w:nsid w:val="1BA026FA"/>
    <w:multiLevelType w:val="hybridMultilevel"/>
    <w:lvl w:ilvl="0">
      <w:lvlJc w:val="left"/>
      <w:lvlText w:val="(%1)"/>
      <w:numFmt w:val="lowerLetter"/>
      <w:start w:val="3"/>
    </w:lvl>
    <w:lvl w:ilvl="1">
      <w:lvlJc w:val="left"/>
      <w:lvlText w:val="%2"/>
      <w:numFmt w:val="lowerRoman"/>
      <w:start w:val="1"/>
    </w:lvl>
  </w:abstractNum>
  <w:abstractNum w:abstractNumId="32">
    <w:nsid w:val="79A1DEAA"/>
    <w:multiLevelType w:val="hybridMultilevel"/>
    <w:lvl w:ilvl="0">
      <w:lvlJc w:val="left"/>
      <w:lvlText w:val="(%1)"/>
      <w:numFmt w:val="lowerRoman"/>
      <w:start w:val="1"/>
    </w:lvl>
  </w:abstractNum>
  <w:abstractNum w:abstractNumId="33">
    <w:nsid w:val="75C6C33A"/>
    <w:multiLevelType w:val="hybridMultilevel"/>
    <w:lvl w:ilvl="0">
      <w:lvlJc w:val="left"/>
      <w:lvlText w:val="(%1)"/>
      <w:numFmt w:val="lowerRoman"/>
      <w:start w:val="1"/>
    </w:lvl>
  </w:abstractNum>
  <w:abstractNum w:abstractNumId="34">
    <w:nsid w:val="12E685FB"/>
    <w:multiLevelType w:val="hybridMultilevel"/>
    <w:lvl w:ilvl="0">
      <w:lvlJc w:val="left"/>
      <w:lvlText w:val="%1"/>
      <w:numFmt w:val="lowerRoman"/>
      <w:start w:val="1"/>
    </w:lvl>
    <w:lvl w:ilvl="1">
      <w:lvlJc w:val="left"/>
      <w:lvlText w:val="(%2)"/>
      <w:numFmt w:val="upperLetter"/>
      <w:start w:val="1"/>
    </w:lvl>
  </w:abstractNum>
  <w:abstractNum w:abstractNumId="35">
    <w:nsid w:val="70C6A529"/>
    <w:multiLevelType w:val="hybridMultilevel"/>
    <w:lvl w:ilvl="0">
      <w:lvlJc w:val="left"/>
      <w:lvlText w:val="(%1)"/>
      <w:numFmt w:val="lowerRoman"/>
      <w:start w:val="2"/>
    </w:lvl>
    <w:lvl w:ilvl="1">
      <w:lvlJc w:val="left"/>
      <w:lvlText w:val="%2"/>
      <w:numFmt w:val="upperLetter"/>
      <w:start w:val="1"/>
    </w:lvl>
  </w:abstractNum>
  <w:abstractNum w:abstractNumId="36">
    <w:nsid w:val="520EEDD1"/>
    <w:multiLevelType w:val="hybridMultilevel"/>
    <w:lvl w:ilvl="0">
      <w:lvlJc w:val="left"/>
      <w:lvlText w:val="6"/>
      <w:numFmt w:val="bullet"/>
      <w:start w:val="1"/>
    </w:lvl>
    <w:lvl w:ilvl="1">
      <w:lvlJc w:val="left"/>
      <w:lvlText w:val="(%2)"/>
      <w:numFmt w:val="lowerLetter"/>
      <w:start w:val="1"/>
    </w:lvl>
  </w:abstractNum>
  <w:abstractNum w:abstractNumId="37">
    <w:nsid w:val="374A3FE6"/>
    <w:multiLevelType w:val="hybridMultilevel"/>
    <w:lvl w:ilvl="0">
      <w:lvlJc w:val="left"/>
      <w:lvlText w:val="(%1)"/>
      <w:numFmt w:val="lowerRoman"/>
      <w:start w:val="1"/>
    </w:lvl>
  </w:abstractNum>
  <w:abstractNum w:abstractNumId="38">
    <w:nsid w:val="4F4EF005"/>
    <w:multiLevelType w:val="hybridMultilevel"/>
    <w:lvl w:ilvl="0">
      <w:lvlJc w:val="left"/>
      <w:lvlText w:val="(%1)"/>
      <w:numFmt w:val="upperLetter"/>
      <w:start w:val="1"/>
    </w:lvl>
  </w:abstractNum>
  <w:abstractNum w:abstractNumId="39">
    <w:nsid w:val="23F9C13C"/>
    <w:multiLevelType w:val="hybridMultilevel"/>
    <w:lvl w:ilvl="0">
      <w:lvlJc w:val="left"/>
      <w:lvlText w:val="%1"/>
      <w:numFmt w:val="lowerLetter"/>
      <w:start w:val="1"/>
    </w:lvl>
    <w:lvl w:ilvl="1">
      <w:lvlJc w:val="left"/>
      <w:lvlText w:val="(%2)"/>
      <w:numFmt w:val="lowerRoman"/>
      <w:start w:val="3"/>
    </w:lvl>
  </w:abstractNum>
  <w:abstractNum w:abstractNumId="40">
    <w:nsid w:val="649BB77C"/>
    <w:multiLevelType w:val="hybridMultilevel"/>
    <w:lvl w:ilvl="0">
      <w:lvlJc w:val="left"/>
      <w:lvlText w:val="(%1)"/>
      <w:numFmt w:val="lowerLetter"/>
      <w:start w:val="3"/>
    </w:lvl>
    <w:lvl w:ilvl="1">
      <w:lvlJc w:val="left"/>
      <w:lvlText w:val="%2"/>
      <w:numFmt w:val="lowerRoman"/>
      <w:start w:val="1"/>
    </w:lvl>
  </w:abstractNum>
  <w:abstractNum w:abstractNumId="41">
    <w:nsid w:val="275AC794"/>
    <w:multiLevelType w:val="hybridMultilevel"/>
    <w:lvl w:ilvl="0">
      <w:lvlJc w:val="left"/>
      <w:lvlText w:val="%1"/>
      <w:numFmt w:val="lowerLetter"/>
      <w:start w:val="1"/>
    </w:lvl>
    <w:lvl w:ilvl="1">
      <w:lvlJc w:val="left"/>
      <w:lvlText w:val="(%2)"/>
      <w:numFmt w:val="lowerRoman"/>
      <w:start w:val="1"/>
    </w:lvl>
  </w:abstractNum>
  <w:abstractNum w:abstractNumId="42">
    <w:nsid w:val="39386575"/>
    <w:multiLevelType w:val="hybridMultilevel"/>
    <w:lvl w:ilvl="0">
      <w:lvlJc w:val="left"/>
      <w:lvlText w:val="(%1)"/>
      <w:numFmt w:val="lowerLetter"/>
      <w:start w:val="9"/>
    </w:lvl>
    <w:lvl w:ilvl="1">
      <w:lvlJc w:val="left"/>
      <w:lvlText w:val="%2"/>
      <w:numFmt w:val="lowerRoman"/>
      <w:start w:val="1"/>
    </w:lvl>
  </w:abstractNum>
  <w:abstractNum w:abstractNumId="43">
    <w:nsid w:val="1CF10FD8"/>
    <w:multiLevelType w:val="hybridMultilevel"/>
    <w:lvl w:ilvl="0">
      <w:lvlJc w:val="left"/>
      <w:lvlText w:val="(%1)"/>
      <w:numFmt w:val="lowerLetter"/>
      <w:start w:val="13"/>
    </w:lvl>
  </w:abstractNum>
  <w:abstractNum w:abstractNumId="44">
    <w:nsid w:val="180115BE"/>
    <w:multiLevelType w:val="hybridMultilevel"/>
    <w:lvl w:ilvl="0">
      <w:lvlJc w:val="left"/>
      <w:lvlText w:val="%1"/>
      <w:numFmt w:val="lowerLetter"/>
      <w:start w:val="1"/>
    </w:lvl>
    <w:lvl w:ilvl="1">
      <w:lvlJc w:val="left"/>
      <w:lvlText w:val="(%2)"/>
      <w:numFmt w:val="lowerRoman"/>
      <w:start w:val="1"/>
    </w:lvl>
  </w:abstractNum>
  <w:abstractNum w:abstractNumId="45">
    <w:nsid w:val="235BA861"/>
    <w:multiLevelType w:val="hybridMultilevel"/>
    <w:lvl w:ilvl="0">
      <w:lvlJc w:val="left"/>
      <w:lvlText w:val="(%1)"/>
      <w:numFmt w:val="lowerLetter"/>
      <w:start w:val="15"/>
    </w:lvl>
    <w:lvl w:ilvl="1">
      <w:lvlJc w:val="left"/>
      <w:lvlText w:val="(%2)"/>
      <w:numFmt w:val="lowerRoman"/>
      <w:start w:val="1"/>
    </w:lvl>
  </w:abstractNum>
  <w:abstractNum w:abstractNumId="46">
    <w:nsid w:val="47398C89"/>
    <w:multiLevelType w:val="hybridMultilevel"/>
    <w:lvl w:ilvl="0">
      <w:lvlJc w:val="left"/>
      <w:lvlText w:val="(%1)"/>
      <w:numFmt w:val="lowerRoman"/>
      <w:start w:val="3"/>
    </w:lvl>
  </w:abstractNum>
  <w:abstractNum w:abstractNumId="47">
    <w:nsid w:val="354FE9F9"/>
    <w:multiLevelType w:val="hybridMultilevel"/>
    <w:lvl w:ilvl="0">
      <w:lvlJc w:val="left"/>
      <w:lvlText w:val="7"/>
      <w:numFmt w:val="bullet"/>
      <w:start w:val="1"/>
    </w:lvl>
    <w:lvl w:ilvl="1">
      <w:lvlJc w:val="left"/>
      <w:lvlText w:val="(%2)"/>
      <w:numFmt w:val="lowerLetter"/>
      <w:start w:val="1"/>
    </w:lvl>
    <w:lvl w:ilvl="2">
      <w:lvlJc w:val="left"/>
      <w:lvlText w:val="(%3)"/>
      <w:numFmt w:val="lowerRoman"/>
      <w:start w:val="1"/>
    </w:lvl>
  </w:abstractNum>
  <w:abstractNum w:abstractNumId="48">
    <w:nsid w:val="15B5AF5C"/>
    <w:multiLevelType w:val="hybridMultilevel"/>
    <w:lvl w:ilvl="0">
      <w:lvlJc w:val="left"/>
      <w:lvlText w:val="(%1)"/>
      <w:numFmt w:val="lowerRoman"/>
      <w:start w:val="2"/>
    </w:lvl>
  </w:abstractNum>
  <w:abstractNum w:abstractNumId="49">
    <w:nsid w:val="741226BB"/>
    <w:multiLevelType w:val="hybridMultilevel"/>
    <w:lvl w:ilvl="0">
      <w:lvlJc w:val="left"/>
      <w:lvlText w:val="(%1)"/>
      <w:numFmt w:val="lowerLetter"/>
      <w:start w:val="1"/>
    </w:lvl>
    <w:lvl w:ilvl="1">
      <w:lvlJc w:val="left"/>
      <w:lvlText w:val="(%2)"/>
      <w:numFmt w:val="lowerRoman"/>
      <w:start w:val="1"/>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1)"/>
      <w:numFmt w:val="lowerLetter"/>
      <w:start w:val="1"/>
    </w:lvl>
    <w:lvl w:ilvl="1">
      <w:lvlJc w:val="left"/>
      <w:lvlText w:val="(%2)"/>
      <w:numFmt w:val="lowerRoman"/>
      <w:start w:val="1"/>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lowerRoman"/>
      <w:start w:val="2"/>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2"/>
    </w:lvl>
  </w:abstractNum>
  <w:abstractNum w:abstractNumId="58">
    <w:nsid w:val="5FF87E05"/>
    <w:multiLevelType w:val="hybridMultilevel"/>
    <w:lvl w:ilvl="0">
      <w:lvlJc w:val="left"/>
      <w:lvlText w:val="%1."/>
      <w:numFmt w:val="decimal"/>
      <w:start w:val="3"/>
    </w:lvl>
  </w:abstractNum>
  <w:abstractNum w:abstractNumId="59">
    <w:nsid w:val="2F305DEF"/>
    <w:multiLevelType w:val="hybridMultilevel"/>
    <w:lvl w:ilvl="0">
      <w:lvlJc w:val="left"/>
      <w:lvlText w:val="%1."/>
      <w:numFmt w:val="decimal"/>
      <w:start w:val="4"/>
    </w:lvl>
  </w:abstractNum>
  <w:abstractNum w:abstractNumId="60">
    <w:nsid w:val="25A70BF7"/>
    <w:multiLevelType w:val="hybridMultilevel"/>
    <w:lvl w:ilvl="0">
      <w:lvlJc w:val="left"/>
      <w:lvlText w:val="%1."/>
      <w:numFmt w:val="decimal"/>
      <w:start w:val="13"/>
    </w:lvl>
  </w:abstractNum>
  <w:abstractNum w:abstractNumId="61">
    <w:nsid w:val="1DBABF00"/>
    <w:multiLevelType w:val="hybridMultilevel"/>
    <w:lvl w:ilvl="0">
      <w:lvlJc w:val="left"/>
      <w:lvlText w:val="%1."/>
      <w:numFmt w:val="decimal"/>
      <w:start w:val="14"/>
    </w:lvl>
  </w:abstractNum>
  <w:abstractNum w:abstractNumId="62">
    <w:nsid w:val="4AD084E9"/>
    <w:multiLevelType w:val="hybridMultilevel"/>
    <w:lvl w:ilvl="0">
      <w:lvlJc w:val="left"/>
      <w:lvlText w:val="%1."/>
      <w:numFmt w:val="decimal"/>
      <w:start w:val="17"/>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bullet"/>
      <w:start w:val="1"/>
    </w:lvl>
  </w:abstractNum>
  <w:abstractNum w:abstractNumId="67">
    <w:nsid w:val="6590700B"/>
    <w:multiLevelType w:val="hybridMultilevel"/>
    <w:lvl w:ilvl="0">
      <w:lvlJc w:val="left"/>
      <w:lvlText w:val="2"/>
      <w:numFmt w:val="bullet"/>
      <w:start w:val="1"/>
    </w:lvl>
  </w:abstractNum>
  <w:abstractNum w:abstractNumId="68">
    <w:nsid w:val="15014ACB"/>
    <w:multiLevelType w:val="hybridMultilevel"/>
    <w:lvl w:ilvl="0">
      <w:lvlJc w:val="left"/>
      <w:lvlText w:val="3"/>
      <w:numFmt w:val="bullet"/>
      <w:start w:val="1"/>
    </w:lvl>
  </w:abstractNum>
  <w:abstractNum w:abstractNumId="69">
    <w:nsid w:val="5F5E7FD0"/>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jpeg"/><Relationship Id="rId74" Type="http://schemas.openxmlformats.org/officeDocument/2006/relationships/image" Target="media/image59.png"/><Relationship Id="rId75" Type="http://schemas.openxmlformats.org/officeDocument/2006/relationships/image" Target="media/image60.jpeg"/><Relationship Id="rId76" Type="http://schemas.openxmlformats.org/officeDocument/2006/relationships/image" Target="media/image61.png"/><Relationship Id="rId77" Type="http://schemas.openxmlformats.org/officeDocument/2006/relationships/image" Target="media/image62.jpeg"/><Relationship Id="rId78" Type="http://schemas.openxmlformats.org/officeDocument/2006/relationships/image" Target="media/image63.png"/><Relationship Id="rId79" Type="http://schemas.openxmlformats.org/officeDocument/2006/relationships/image" Target="media/image64.jpeg"/><Relationship Id="rId80" Type="http://schemas.openxmlformats.org/officeDocument/2006/relationships/image" Target="media/image65.png"/><Relationship Id="rId81" Type="http://schemas.openxmlformats.org/officeDocument/2006/relationships/image" Target="media/image66.jpeg"/><Relationship Id="rId82" Type="http://schemas.openxmlformats.org/officeDocument/2006/relationships/image" Target="media/image67.png"/><Relationship Id="rId83" Type="http://schemas.openxmlformats.org/officeDocument/2006/relationships/image" Target="media/image68.jpeg"/><Relationship Id="rId84" Type="http://schemas.openxmlformats.org/officeDocument/2006/relationships/image" Target="media/image69.png"/><Relationship Id="rId85" Type="http://schemas.openxmlformats.org/officeDocument/2006/relationships/image" Target="media/image70.jpeg"/><Relationship Id="rId86" Type="http://schemas.openxmlformats.org/officeDocument/2006/relationships/image" Target="media/image71.png"/><Relationship Id="rId87" Type="http://schemas.openxmlformats.org/officeDocument/2006/relationships/image" Target="media/image72.jpeg"/><Relationship Id="rId88" Type="http://schemas.openxmlformats.org/officeDocument/2006/relationships/image" Target="media/image73.png"/><Relationship Id="rId89" Type="http://schemas.openxmlformats.org/officeDocument/2006/relationships/image" Target="media/image74.jpeg"/><Relationship Id="rId90" Type="http://schemas.openxmlformats.org/officeDocument/2006/relationships/image" Target="media/image75.png"/><Relationship Id="rId91" Type="http://schemas.openxmlformats.org/officeDocument/2006/relationships/image" Target="media/image76.jpeg"/><Relationship Id="rId92" Type="http://schemas.openxmlformats.org/officeDocument/2006/relationships/image" Target="media/image77.png"/><Relationship Id="rId93" Type="http://schemas.openxmlformats.org/officeDocument/2006/relationships/image" Target="media/image78.jpeg"/><Relationship Id="rId94" Type="http://schemas.openxmlformats.org/officeDocument/2006/relationships/image" Target="media/image79.png"/><Relationship Id="rId95" Type="http://schemas.openxmlformats.org/officeDocument/2006/relationships/image" Target="media/image80.jpeg"/><Relationship Id="rId96" Type="http://schemas.openxmlformats.org/officeDocument/2006/relationships/image" Target="media/image81.png"/><Relationship Id="rId97" Type="http://schemas.openxmlformats.org/officeDocument/2006/relationships/image" Target="media/image82.jpeg"/><Relationship Id="rId98" Type="http://schemas.openxmlformats.org/officeDocument/2006/relationships/image" Target="media/image83.png"/><Relationship Id="rId99" Type="http://schemas.openxmlformats.org/officeDocument/2006/relationships/image" Target="media/image84.jpeg"/><Relationship Id="rId100" Type="http://schemas.openxmlformats.org/officeDocument/2006/relationships/image" Target="media/image85.png"/><Relationship Id="rId101" Type="http://schemas.openxmlformats.org/officeDocument/2006/relationships/image" Target="media/image86.jpe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jpe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29" Type="http://schemas.openxmlformats.org/officeDocument/2006/relationships/hyperlink" Target="http://www.sec.gov/ix?doc=/Archives/edgar/data/1413447/000141344725000019/nxpi-20241231.htm" TargetMode="External"/><Relationship Id="rId30" Type="http://schemas.openxmlformats.org/officeDocument/2006/relationships/hyperlink" Target="http://www.sec.gov/ix?doc=/Archives/edgar/data/1413447/000141344725000031/nxpi-20250330.htm" TargetMode="External"/><Relationship Id="rId31" Type="http://schemas.openxmlformats.org/officeDocument/2006/relationships/hyperlink" Target="http://www.sec.gov/ix?doc=/Archives/edgar/data/1413447/000141344725000106/nxpi-20250629.htm" TargetMode="External"/><Relationship Id="rId32" Type="http://schemas.openxmlformats.org/officeDocument/2006/relationships/hyperlink" Target="http://www.sec.gov/ix?doc=/Archives/edgar/data/1413447/000141344725000027/nxpi-20250428.htm" TargetMode="External"/><Relationship Id="rId33" Type="http://schemas.openxmlformats.org/officeDocument/2006/relationships/hyperlink" Target="http://www.sec.gov/ix?doc=/Archives/edgar/data/1413447/000141344725000070/nxpi-20250611.htm" TargetMode="External"/><Relationship Id="rId34" Type="http://schemas.openxmlformats.org/officeDocument/2006/relationships/hyperlink" Target="http://www.sec.gov/ix?doc=/Archives/edgar/data/1413447/000141344725000035/nxpi-20250429.htm" TargetMode="External"/><Relationship Id="rId51" Type="http://schemas.openxmlformats.org/officeDocument/2006/relationships/hyperlink" Target="http://www.sec.gov/Archives/edgar/data/1413447/000141344720000056/a2020-2q10xqexhibit31.htm" TargetMode="External"/><Relationship Id="rId52" Type="http://schemas.openxmlformats.org/officeDocument/2006/relationships/hyperlink" Target="http://www.sec.gov/Archives/edgar/data/1413447/000119312522151965/d35320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2025-08-12T08:07:49Z</dcterms:created>
  <dcterms:modified xsi:type="dcterms:W3CDTF">2025-08-12T08:07:49Z</dcterms:modified>
</cp:coreProperties>
</file>