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0001143422</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NXP B.V.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333-142287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HIGH TECH CAMPUS 60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EINDHOVEN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40" w:type="dxa"/>
            <w:vAlign w:val="bottom"/>
          </w:tcPr>
          <w:p>
            <w:pPr>
              <w:spacing w:after="0"/>
              <w:rPr>
                <w:sz w:val="13"/>
                <w:szCs w:val="13"/>
                <w:color w:val="auto"/>
              </w:rPr>
            </w:pPr>
          </w:p>
        </w:tc>
        <w:tc>
          <w:tcPr>
            <w:tcW w:w="3460" w:type="dxa"/>
            <w:vAlign w:val="bottom"/>
            <w:vMerge w:val="restart"/>
          </w:tcPr>
          <w:p>
            <w:pPr>
              <w:ind w:left="110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40" w:type="dxa"/>
            <w:vAlign w:val="bottom"/>
          </w:tcPr>
          <w:p>
            <w:pPr>
              <w:spacing w:after="0"/>
              <w:rPr>
                <w:sz w:val="7"/>
                <w:szCs w:val="7"/>
                <w:color w:val="auto"/>
              </w:rPr>
            </w:pPr>
          </w:p>
        </w:tc>
        <w:tc>
          <w:tcPr>
            <w:tcW w:w="3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5656 AG</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(31)402745678</w:t>
            </w:r>
          </w:p>
        </w:tc>
        <w:tc>
          <w:tcPr>
            <w:tcW w:w="0" w:type="dxa"/>
            <w:vAlign w:val="bottom"/>
          </w:tcPr>
          <w:p>
            <w:pPr>
              <w:spacing w:after="0"/>
              <w:rPr>
                <w:sz w:val="1"/>
                <w:szCs w:val="1"/>
                <w:color w:val="auto"/>
              </w:rPr>
            </w:pP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SUMME GREGORY 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7695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1890892.35</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256459260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380" w:type="dxa"/>
            <w:vAlign w:val="bottom"/>
          </w:tcPr>
          <w:p>
            <w:pPr>
              <w:jc w:val="right"/>
              <w:ind w:right="1912"/>
              <w:spacing w:after="0"/>
              <w:rPr>
                <w:sz w:val="20"/>
                <w:szCs w:val="20"/>
                <w:color w:val="auto"/>
              </w:rPr>
            </w:pPr>
            <w:r>
              <w:rPr>
                <w:rFonts w:ascii="Times New Roman" w:cs="Times New Roman" w:eastAsia="Times New Roman" w:hAnsi="Times New Roman"/>
                <w:sz w:val="22"/>
                <w:szCs w:val="22"/>
                <w:b w:val="1"/>
                <w:bCs w:val="1"/>
                <w:color w:val="auto"/>
              </w:rPr>
              <w:t>a</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38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120" w:type="dxa"/>
            <w:vAlign w:val="bottom"/>
          </w:tcPr>
          <w:p>
            <w:pPr>
              <w:spacing w:after="0" w:line="244" w:lineRule="exact"/>
              <w:rPr>
                <w:sz w:val="20"/>
                <w:szCs w:val="20"/>
                <w:color w:val="auto"/>
              </w:rPr>
            </w:pPr>
            <w:r>
              <w:rPr>
                <w:rFonts w:ascii="Times New Roman" w:cs="Times New Roman" w:eastAsia="Times New Roman" w:hAnsi="Times New Roman"/>
                <w:sz w:val="22"/>
                <w:szCs w:val="22"/>
                <w:color w:val="auto"/>
              </w:rPr>
              <w:t>Common</w:t>
            </w:r>
          </w:p>
        </w:tc>
        <w:tc>
          <w:tcPr>
            <w:tcW w:w="2820" w:type="dxa"/>
            <w:vAlign w:val="bottom"/>
          </w:tcPr>
          <w:p>
            <w:pPr>
              <w:ind w:left="1360"/>
              <w:spacing w:after="0" w:line="244" w:lineRule="exact"/>
              <w:rPr>
                <w:sz w:val="20"/>
                <w:szCs w:val="20"/>
                <w:color w:val="auto"/>
              </w:rPr>
            </w:pPr>
            <w:r>
              <w:rPr>
                <w:rFonts w:ascii="Times New Roman" w:cs="Times New Roman" w:eastAsia="Times New Roman" w:hAnsi="Times New Roman"/>
                <w:sz w:val="22"/>
                <w:szCs w:val="22"/>
                <w:color w:val="auto"/>
              </w:rPr>
              <w:t>Open Market</w:t>
            </w:r>
          </w:p>
        </w:tc>
        <w:tc>
          <w:tcPr>
            <w:tcW w:w="1780" w:type="dxa"/>
            <w:vAlign w:val="bottom"/>
          </w:tcPr>
          <w:p>
            <w:pPr>
              <w:ind w:left="300"/>
              <w:spacing w:after="0" w:line="244" w:lineRule="exact"/>
              <w:rPr>
                <w:sz w:val="20"/>
                <w:szCs w:val="20"/>
                <w:color w:val="auto"/>
              </w:rPr>
            </w:pPr>
            <w:r>
              <w:rPr>
                <w:rFonts w:ascii="Times New Roman" w:cs="Times New Roman" w:eastAsia="Times New Roman" w:hAnsi="Times New Roman"/>
                <w:sz w:val="22"/>
                <w:szCs w:val="22"/>
                <w:color w:val="auto"/>
              </w:rPr>
              <w:t>Open Market</w:t>
            </w:r>
          </w:p>
        </w:tc>
        <w:tc>
          <w:tcPr>
            <w:tcW w:w="23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2820" w:type="dxa"/>
            <w:vAlign w:val="bottom"/>
          </w:tcPr>
          <w:p>
            <w:pPr>
              <w:ind w:left="320"/>
              <w:spacing w:after="0" w:line="323" w:lineRule="exact"/>
              <w:rPr>
                <w:sz w:val="20"/>
                <w:szCs w:val="20"/>
                <w:color w:val="auto"/>
              </w:rPr>
            </w:pPr>
            <w:r>
              <w:rPr>
                <w:rFonts w:ascii="Times New Roman" w:cs="Times New Roman" w:eastAsia="Times New Roman" w:hAnsi="Times New Roman"/>
                <w:sz w:val="19"/>
                <w:szCs w:val="19"/>
                <w:color w:val="auto"/>
              </w:rPr>
              <w:t xml:space="preserve">09/12/2018 </w:t>
            </w:r>
            <w:r>
              <w:rPr>
                <w:rFonts w:ascii="Times New Roman" w:cs="Times New Roman" w:eastAsia="Times New Roman" w:hAnsi="Times New Roman"/>
                <w:sz w:val="37"/>
                <w:szCs w:val="37"/>
                <w:color w:val="auto"/>
                <w:vertAlign w:val="subscript"/>
              </w:rPr>
              <w:t>Purchase</w:t>
            </w:r>
          </w:p>
        </w:tc>
        <w:tc>
          <w:tcPr>
            <w:tcW w:w="1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Purchase</w:t>
            </w:r>
          </w:p>
        </w:tc>
        <w:tc>
          <w:tcPr>
            <w:tcW w:w="238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3000</w:t>
            </w:r>
          </w:p>
        </w:tc>
        <w:tc>
          <w:tcPr>
            <w:tcW w:w="190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09/12/2018 Cash</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tcPr>
          <w:p>
            <w:pPr>
              <w:spacing w:after="0"/>
              <w:rPr>
                <w:sz w:val="21"/>
                <w:szCs w:val="21"/>
                <w:color w:val="auto"/>
              </w:rPr>
            </w:pPr>
          </w:p>
        </w:tc>
        <w:tc>
          <w:tcPr>
            <w:tcW w:w="17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NXP</w:t>
            </w:r>
          </w:p>
        </w:tc>
        <w:tc>
          <w:tcPr>
            <w:tcW w:w="23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4600" w:type="dxa"/>
            <w:vAlign w:val="bottom"/>
            <w:gridSpan w:val="2"/>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w w:val="99"/>
              </w:rPr>
              <w:t>09/12/2015 Merger/Acquisition Semiconductors</w:t>
            </w:r>
          </w:p>
        </w:tc>
        <w:tc>
          <w:tcPr>
            <w:tcW w:w="2380" w:type="dxa"/>
            <w:vAlign w:val="bottom"/>
            <w:vMerge w:val="restart"/>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2748</w:t>
            </w:r>
          </w:p>
        </w:tc>
        <w:tc>
          <w:tcPr>
            <w:tcW w:w="1900" w:type="dxa"/>
            <w:vAlign w:val="bottom"/>
            <w:vMerge w:val="restart"/>
          </w:tcPr>
          <w:p>
            <w:pPr>
              <w:ind w:left="420"/>
              <w:spacing w:after="0" w:line="243" w:lineRule="exact"/>
              <w:rPr>
                <w:sz w:val="20"/>
                <w:szCs w:val="20"/>
                <w:color w:val="auto"/>
              </w:rPr>
            </w:pPr>
            <w:r>
              <w:rPr>
                <w:rFonts w:ascii="Times New Roman" w:cs="Times New Roman" w:eastAsia="Times New Roman" w:hAnsi="Times New Roman"/>
                <w:sz w:val="22"/>
                <w:szCs w:val="22"/>
                <w:color w:val="auto"/>
              </w:rPr>
              <w:t>09/12/2015 N/A</w:t>
            </w:r>
          </w:p>
        </w:tc>
        <w:tc>
          <w:tcPr>
            <w:tcW w:w="0" w:type="dxa"/>
            <w:vAlign w:val="bottom"/>
          </w:tcPr>
          <w:p>
            <w:pPr>
              <w:spacing w:after="0"/>
              <w:rPr>
                <w:sz w:val="1"/>
                <w:szCs w:val="1"/>
                <w:color w:val="auto"/>
              </w:rPr>
            </w:pPr>
          </w:p>
        </w:tc>
      </w:tr>
      <w:tr>
        <w:trPr>
          <w:trHeight w:val="12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4600" w:type="dxa"/>
            <w:vAlign w:val="bottom"/>
            <w:gridSpan w:val="2"/>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820" w:type="dxa"/>
            <w:vAlign w:val="bottom"/>
          </w:tcPr>
          <w:p>
            <w:pPr>
              <w:spacing w:after="0"/>
              <w:rPr>
                <w:sz w:val="13"/>
                <w:szCs w:val="13"/>
                <w:color w:val="auto"/>
              </w:rPr>
            </w:pPr>
          </w:p>
        </w:tc>
        <w:tc>
          <w:tcPr>
            <w:tcW w:w="17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N.V.</w:t>
            </w:r>
          </w:p>
        </w:tc>
        <w:tc>
          <w:tcPr>
            <w:tcW w:w="2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23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tcPr>
          <w:p>
            <w:pPr>
              <w:spacing w:after="0"/>
              <w:rPr>
                <w:sz w:val="22"/>
                <w:szCs w:val="22"/>
                <w:color w:val="auto"/>
              </w:rPr>
            </w:pPr>
          </w:p>
        </w:tc>
        <w:tc>
          <w:tcPr>
            <w:tcW w:w="1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NXP</w:t>
            </w:r>
          </w:p>
        </w:tc>
        <w:tc>
          <w:tcPr>
            <w:tcW w:w="23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4600" w:type="dxa"/>
            <w:vAlign w:val="bottom"/>
            <w:gridSpan w:val="2"/>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w w:val="99"/>
              </w:rPr>
              <w:t>07/12/2015 Merger/Acquisition Semiconductors</w:t>
            </w:r>
          </w:p>
        </w:tc>
        <w:tc>
          <w:tcPr>
            <w:tcW w:w="2380" w:type="dxa"/>
            <w:vAlign w:val="bottom"/>
            <w:vMerge w:val="restart"/>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1947</w:t>
            </w:r>
          </w:p>
        </w:tc>
        <w:tc>
          <w:tcPr>
            <w:tcW w:w="1900" w:type="dxa"/>
            <w:vAlign w:val="bottom"/>
            <w:vMerge w:val="restart"/>
          </w:tcPr>
          <w:p>
            <w:pPr>
              <w:ind w:left="420"/>
              <w:spacing w:after="0" w:line="243" w:lineRule="exact"/>
              <w:rPr>
                <w:sz w:val="20"/>
                <w:szCs w:val="20"/>
                <w:color w:val="auto"/>
              </w:rPr>
            </w:pPr>
            <w:r>
              <w:rPr>
                <w:rFonts w:ascii="Times New Roman" w:cs="Times New Roman" w:eastAsia="Times New Roman" w:hAnsi="Times New Roman"/>
                <w:sz w:val="22"/>
                <w:szCs w:val="22"/>
                <w:color w:val="auto"/>
              </w:rPr>
              <w:t>07/12/2015 N/A</w:t>
            </w: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4600" w:type="dxa"/>
            <w:vAlign w:val="bottom"/>
            <w:gridSpan w:val="2"/>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820" w:type="dxa"/>
            <w:vAlign w:val="bottom"/>
          </w:tcPr>
          <w:p>
            <w:pPr>
              <w:spacing w:after="0"/>
              <w:rPr>
                <w:sz w:val="13"/>
                <w:szCs w:val="13"/>
                <w:color w:val="auto"/>
              </w:rPr>
            </w:pPr>
          </w:p>
        </w:tc>
        <w:tc>
          <w:tcPr>
            <w:tcW w:w="17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N.V.</w:t>
            </w:r>
          </w:p>
        </w:tc>
        <w:tc>
          <w:tcPr>
            <w:tcW w:w="2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23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-1224280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-804545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-306705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3,000 shares are sold from Gregory L. Summe Trust 2009 account and 4,695 shares sold from Gregory L. Summe</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individual account.</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02/28/2024</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Myra King,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Gregory L. Summe</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2024-02-28T15:35:39Z</dcterms:created>
  <dcterms:modified xsi:type="dcterms:W3CDTF">2024-02-28T15:35:39Z</dcterms:modified>
</cp:coreProperties>
</file>